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0263" w14:textId="5D7C5D64" w:rsidR="00E037E5" w:rsidRPr="00A46E50" w:rsidRDefault="00115164">
      <w:pPr>
        <w:rPr>
          <w:rFonts w:ascii="Whitney" w:hAnsi="Whitney"/>
          <w:b/>
          <w:bCs/>
          <w:sz w:val="28"/>
          <w:szCs w:val="28"/>
        </w:rPr>
      </w:pPr>
      <w:r w:rsidRPr="00A46E50">
        <w:rPr>
          <w:rFonts w:ascii="Whitney" w:hAnsi="Whitney"/>
          <w:b/>
          <w:bCs/>
          <w:sz w:val="28"/>
          <w:szCs w:val="28"/>
        </w:rPr>
        <w:t>Holiday and Absence Record for Postgraduate Research Students</w:t>
      </w:r>
    </w:p>
    <w:p w14:paraId="243CF3D0" w14:textId="53187341" w:rsidR="00115164" w:rsidRPr="00115164" w:rsidRDefault="00115164" w:rsidP="00115164">
      <w:pPr>
        <w:rPr>
          <w:rFonts w:ascii="Whitney" w:hAnsi="Whitney"/>
          <w:sz w:val="24"/>
          <w:szCs w:val="24"/>
        </w:rPr>
      </w:pPr>
      <w:r w:rsidRPr="007C3AB6">
        <w:rPr>
          <w:rFonts w:ascii="Whitney" w:hAnsi="Whitney"/>
          <w:b/>
          <w:bCs/>
          <w:sz w:val="24"/>
          <w:szCs w:val="24"/>
        </w:rPr>
        <w:t xml:space="preserve">Full-time research students’ </w:t>
      </w:r>
      <w:hyperlink r:id="rId6" w:history="1">
        <w:r w:rsidRPr="00903276">
          <w:rPr>
            <w:rStyle w:val="Hyperlink"/>
            <w:rFonts w:ascii="Whitney" w:hAnsi="Whitney"/>
            <w:b/>
            <w:bCs/>
            <w:sz w:val="24"/>
            <w:szCs w:val="24"/>
          </w:rPr>
          <w:t>annual leave entitlement</w:t>
        </w:r>
      </w:hyperlink>
      <w:r w:rsidRPr="00115164">
        <w:rPr>
          <w:rFonts w:ascii="Whitney" w:hAnsi="Whitney"/>
          <w:sz w:val="24"/>
          <w:szCs w:val="24"/>
        </w:rPr>
        <w:t>: 35 days (October 202</w:t>
      </w:r>
      <w:r w:rsidR="00903276">
        <w:rPr>
          <w:rFonts w:ascii="Whitney" w:hAnsi="Whitney"/>
          <w:sz w:val="24"/>
          <w:szCs w:val="24"/>
        </w:rPr>
        <w:t>4</w:t>
      </w:r>
      <w:r w:rsidRPr="00115164">
        <w:rPr>
          <w:rFonts w:ascii="Whitney" w:hAnsi="Whitney"/>
          <w:sz w:val="24"/>
          <w:szCs w:val="24"/>
        </w:rPr>
        <w:t xml:space="preserve"> start**); 23 days (February 202</w:t>
      </w:r>
      <w:r w:rsidR="00903276">
        <w:rPr>
          <w:rFonts w:ascii="Whitney" w:hAnsi="Whitney"/>
          <w:sz w:val="24"/>
          <w:szCs w:val="24"/>
        </w:rPr>
        <w:t>5</w:t>
      </w:r>
      <w:r w:rsidRPr="00115164">
        <w:rPr>
          <w:rFonts w:ascii="Whitney" w:hAnsi="Whitney"/>
          <w:sz w:val="24"/>
          <w:szCs w:val="24"/>
        </w:rPr>
        <w:t xml:space="preserve"> start); or 15 days (May 202</w:t>
      </w:r>
      <w:r w:rsidR="00903276">
        <w:rPr>
          <w:rFonts w:ascii="Whitney" w:hAnsi="Whitney"/>
          <w:sz w:val="24"/>
          <w:szCs w:val="24"/>
        </w:rPr>
        <w:t>5</w:t>
      </w:r>
      <w:r w:rsidRPr="00115164">
        <w:rPr>
          <w:rFonts w:ascii="Whitney" w:hAnsi="Whitney"/>
          <w:sz w:val="24"/>
          <w:szCs w:val="24"/>
        </w:rPr>
        <w:t xml:space="preserve"> start) </w:t>
      </w:r>
    </w:p>
    <w:p w14:paraId="65D807BB" w14:textId="516242F6" w:rsidR="00115164" w:rsidRDefault="00115164" w:rsidP="00115164">
      <w:pPr>
        <w:rPr>
          <w:rFonts w:ascii="Whitney" w:hAnsi="Whitney"/>
          <w:sz w:val="24"/>
          <w:szCs w:val="24"/>
        </w:rPr>
      </w:pPr>
      <w:r w:rsidRPr="00115164">
        <w:rPr>
          <w:rFonts w:ascii="Whitney" w:hAnsi="Whitney"/>
          <w:sz w:val="24"/>
          <w:szCs w:val="24"/>
        </w:rPr>
        <w:t>Additionally, there are 11 public holidays in the year at the Glasgow campus that don’t need to be recorded here*.</w:t>
      </w:r>
    </w:p>
    <w:tbl>
      <w:tblPr>
        <w:tblW w:w="14102" w:type="dxa"/>
        <w:tblInd w:w="-5" w:type="dxa"/>
        <w:tblLook w:val="0000" w:firstRow="0" w:lastRow="0" w:firstColumn="0" w:lastColumn="0" w:noHBand="0" w:noVBand="0"/>
      </w:tblPr>
      <w:tblGrid>
        <w:gridCol w:w="1997"/>
        <w:gridCol w:w="6372"/>
        <w:gridCol w:w="2409"/>
        <w:gridCol w:w="3324"/>
      </w:tblGrid>
      <w:tr w:rsidR="00A46E50" w14:paraId="02384CFD" w14:textId="53C8AB10" w:rsidTr="007D033F">
        <w:trPr>
          <w:trHeight w:val="255"/>
        </w:trPr>
        <w:tc>
          <w:tcPr>
            <w:tcW w:w="1997" w:type="dxa"/>
            <w:shd w:val="clear" w:color="auto" w:fill="ABE5FF"/>
          </w:tcPr>
          <w:p w14:paraId="30DF5122" w14:textId="3A0487A0" w:rsidR="00A46E50" w:rsidRPr="00A46E50" w:rsidRDefault="00A46E50" w:rsidP="00A46E50">
            <w:pPr>
              <w:spacing w:after="0"/>
              <w:rPr>
                <w:rFonts w:ascii="Whitney" w:hAnsi="Whitney"/>
                <w:b/>
                <w:bCs/>
                <w:sz w:val="24"/>
                <w:szCs w:val="24"/>
              </w:rPr>
            </w:pPr>
            <w:r w:rsidRPr="00A46E50">
              <w:rPr>
                <w:rFonts w:ascii="Whitney" w:hAnsi="Whitney"/>
                <w:b/>
                <w:bCs/>
                <w:sz w:val="24"/>
                <w:szCs w:val="24"/>
              </w:rPr>
              <w:t>School</w:t>
            </w:r>
            <w:r w:rsidR="0081607D">
              <w:rPr>
                <w:rFonts w:ascii="Whitney" w:hAnsi="Whitney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372" w:type="dxa"/>
          </w:tcPr>
          <w:p w14:paraId="7A053889" w14:textId="77777777" w:rsidR="00A46E50" w:rsidRDefault="00A46E50" w:rsidP="00A46E50">
            <w:pPr>
              <w:spacing w:after="0"/>
              <w:rPr>
                <w:rFonts w:ascii="Whitney" w:hAnsi="Whitney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BE5FF"/>
          </w:tcPr>
          <w:p w14:paraId="5457726F" w14:textId="39778A61" w:rsidR="00A46E50" w:rsidRDefault="00A46E50" w:rsidP="00A46E50">
            <w:pPr>
              <w:spacing w:after="0"/>
              <w:rPr>
                <w:rFonts w:ascii="Whitney" w:hAnsi="Whitney"/>
                <w:sz w:val="24"/>
                <w:szCs w:val="24"/>
              </w:rPr>
            </w:pPr>
            <w:r w:rsidRPr="00A46E50">
              <w:rPr>
                <w:rFonts w:ascii="Whitney" w:hAnsi="Whitney"/>
                <w:b/>
                <w:bCs/>
                <w:sz w:val="24"/>
                <w:szCs w:val="24"/>
              </w:rPr>
              <w:t>Student ID number</w:t>
            </w:r>
            <w:r w:rsidR="0081607D">
              <w:rPr>
                <w:rFonts w:ascii="Whitney" w:hAnsi="Whitney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324" w:type="dxa"/>
          </w:tcPr>
          <w:p w14:paraId="39CDDC33" w14:textId="77777777" w:rsidR="00A46E50" w:rsidRDefault="00A46E50" w:rsidP="00A46E50">
            <w:pPr>
              <w:spacing w:after="0"/>
              <w:rPr>
                <w:rFonts w:ascii="Whitney" w:hAnsi="Whitney"/>
                <w:sz w:val="24"/>
                <w:szCs w:val="24"/>
              </w:rPr>
            </w:pPr>
          </w:p>
        </w:tc>
      </w:tr>
      <w:tr w:rsidR="00A46E50" w14:paraId="0B98554B" w14:textId="7C2C4264" w:rsidTr="007D033F">
        <w:trPr>
          <w:trHeight w:val="361"/>
        </w:trPr>
        <w:tc>
          <w:tcPr>
            <w:tcW w:w="1997" w:type="dxa"/>
            <w:shd w:val="clear" w:color="auto" w:fill="ABE5FF"/>
          </w:tcPr>
          <w:p w14:paraId="0016F3EC" w14:textId="5AD3DD8A" w:rsidR="00A46E50" w:rsidRPr="00A46E50" w:rsidRDefault="00A46E50" w:rsidP="00A46E50">
            <w:pPr>
              <w:spacing w:after="0"/>
              <w:rPr>
                <w:rFonts w:ascii="Whitney" w:hAnsi="Whitney"/>
                <w:b/>
                <w:bCs/>
                <w:sz w:val="24"/>
                <w:szCs w:val="24"/>
              </w:rPr>
            </w:pPr>
            <w:r w:rsidRPr="00A46E50">
              <w:rPr>
                <w:rFonts w:ascii="Whitney" w:hAnsi="Whitney"/>
                <w:b/>
                <w:bCs/>
                <w:sz w:val="24"/>
                <w:szCs w:val="24"/>
              </w:rPr>
              <w:t>Full name</w:t>
            </w:r>
            <w:r w:rsidR="0081607D">
              <w:rPr>
                <w:rFonts w:ascii="Whitney" w:hAnsi="Whitney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372" w:type="dxa"/>
          </w:tcPr>
          <w:p w14:paraId="6E6DE263" w14:textId="77777777" w:rsidR="00A46E50" w:rsidRDefault="00A46E50" w:rsidP="00A46E50">
            <w:pPr>
              <w:spacing w:after="0"/>
              <w:rPr>
                <w:rFonts w:ascii="Whitney" w:hAnsi="Whitney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8FBDF74" w14:textId="78762EC5" w:rsidR="00A46E50" w:rsidRDefault="00A46E50" w:rsidP="00A46E50">
            <w:pPr>
              <w:spacing w:after="0"/>
              <w:rPr>
                <w:rFonts w:ascii="Whitney" w:hAnsi="Whitney"/>
                <w:sz w:val="24"/>
                <w:szCs w:val="24"/>
              </w:rPr>
            </w:pPr>
          </w:p>
        </w:tc>
        <w:tc>
          <w:tcPr>
            <w:tcW w:w="3324" w:type="dxa"/>
          </w:tcPr>
          <w:p w14:paraId="01B838FD" w14:textId="77777777" w:rsidR="00A46E50" w:rsidRDefault="00A46E50" w:rsidP="00A46E50">
            <w:pPr>
              <w:spacing w:after="0"/>
              <w:rPr>
                <w:rFonts w:ascii="Whitney" w:hAnsi="Whitney"/>
                <w:sz w:val="24"/>
                <w:szCs w:val="24"/>
              </w:rPr>
            </w:pPr>
          </w:p>
        </w:tc>
      </w:tr>
    </w:tbl>
    <w:p w14:paraId="4F7EFA8D" w14:textId="77777777" w:rsidR="00A46E50" w:rsidRDefault="00A46E50" w:rsidP="00A46E50">
      <w:pPr>
        <w:rPr>
          <w:rFonts w:ascii="Whitney" w:hAnsi="Whitney"/>
          <w:sz w:val="24"/>
          <w:szCs w:val="24"/>
        </w:rPr>
      </w:pPr>
    </w:p>
    <w:tbl>
      <w:tblPr>
        <w:tblW w:w="16131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365"/>
        <w:gridCol w:w="991"/>
        <w:gridCol w:w="1081"/>
        <w:gridCol w:w="1066"/>
        <w:gridCol w:w="883"/>
        <w:gridCol w:w="3017"/>
        <w:gridCol w:w="1661"/>
        <w:gridCol w:w="2532"/>
        <w:gridCol w:w="2117"/>
      </w:tblGrid>
      <w:tr w:rsidR="00A46E50" w:rsidRPr="00761444" w14:paraId="5D43C3EE" w14:textId="77777777" w:rsidTr="007D033F">
        <w:tc>
          <w:tcPr>
            <w:tcW w:w="2783" w:type="dxa"/>
            <w:gridSpan w:val="2"/>
            <w:shd w:val="clear" w:color="auto" w:fill="ABE5FF"/>
            <w:vAlign w:val="center"/>
          </w:tcPr>
          <w:p w14:paraId="794B0303" w14:textId="77777777" w:rsidR="00A46E50" w:rsidRPr="007D033F" w:rsidRDefault="00A46E50" w:rsidP="007D033F">
            <w:pPr>
              <w:spacing w:after="0" w:line="240" w:lineRule="auto"/>
              <w:jc w:val="center"/>
              <w:rPr>
                <w:rFonts w:ascii="Whitney" w:hAnsi="Whitney"/>
                <w:b/>
                <w:sz w:val="20"/>
                <w:szCs w:val="20"/>
              </w:rPr>
            </w:pPr>
            <w:r w:rsidRPr="007D033F">
              <w:rPr>
                <w:rFonts w:ascii="Whitney" w:hAnsi="Whitney"/>
                <w:b/>
                <w:sz w:val="20"/>
                <w:szCs w:val="20"/>
              </w:rPr>
              <w:t>Dates</w:t>
            </w:r>
          </w:p>
        </w:tc>
        <w:tc>
          <w:tcPr>
            <w:tcW w:w="991" w:type="dxa"/>
            <w:shd w:val="clear" w:color="auto" w:fill="ABE5FF"/>
            <w:vAlign w:val="center"/>
          </w:tcPr>
          <w:p w14:paraId="4DBF7503" w14:textId="77777777" w:rsidR="00A46E50" w:rsidRPr="007D033F" w:rsidRDefault="00A46E50" w:rsidP="007D033F">
            <w:pPr>
              <w:spacing w:after="0" w:line="240" w:lineRule="auto"/>
              <w:jc w:val="center"/>
              <w:rPr>
                <w:rFonts w:ascii="Whitney" w:hAnsi="Whitney"/>
                <w:b/>
                <w:sz w:val="20"/>
                <w:szCs w:val="20"/>
              </w:rPr>
            </w:pPr>
            <w:r w:rsidRPr="007D033F">
              <w:rPr>
                <w:rFonts w:ascii="Whitney" w:hAnsi="Whitney"/>
                <w:b/>
                <w:sz w:val="20"/>
                <w:szCs w:val="20"/>
              </w:rPr>
              <w:t>Holidays</w:t>
            </w:r>
          </w:p>
          <w:p w14:paraId="44F8D5B9" w14:textId="77777777" w:rsidR="00A46E50" w:rsidRPr="007D033F" w:rsidRDefault="00A46E50" w:rsidP="007D033F">
            <w:pPr>
              <w:spacing w:after="0" w:line="240" w:lineRule="auto"/>
              <w:jc w:val="center"/>
              <w:rPr>
                <w:rFonts w:ascii="Whitney" w:hAnsi="Whitney"/>
                <w:b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BE5FF"/>
            <w:vAlign w:val="center"/>
          </w:tcPr>
          <w:p w14:paraId="192BE7B0" w14:textId="77777777" w:rsidR="00A46E50" w:rsidRPr="007D033F" w:rsidRDefault="00A46E50" w:rsidP="007D033F">
            <w:pPr>
              <w:spacing w:after="0" w:line="240" w:lineRule="auto"/>
              <w:jc w:val="center"/>
              <w:rPr>
                <w:rFonts w:ascii="Whitney" w:hAnsi="Whitney"/>
                <w:b/>
                <w:sz w:val="20"/>
                <w:szCs w:val="20"/>
              </w:rPr>
            </w:pPr>
            <w:r w:rsidRPr="007D033F">
              <w:rPr>
                <w:rFonts w:ascii="Whitney" w:hAnsi="Whitney"/>
                <w:b/>
                <w:sz w:val="20"/>
                <w:szCs w:val="20"/>
              </w:rPr>
              <w:t>Holidays remaining</w:t>
            </w:r>
          </w:p>
        </w:tc>
        <w:tc>
          <w:tcPr>
            <w:tcW w:w="1066" w:type="dxa"/>
            <w:shd w:val="clear" w:color="auto" w:fill="ABE5FF"/>
            <w:vAlign w:val="center"/>
          </w:tcPr>
          <w:p w14:paraId="4463F75F" w14:textId="77777777" w:rsidR="00A46E50" w:rsidRPr="007D033F" w:rsidRDefault="00A46E50" w:rsidP="007D033F">
            <w:pPr>
              <w:spacing w:after="0" w:line="240" w:lineRule="auto"/>
              <w:jc w:val="center"/>
              <w:rPr>
                <w:rFonts w:ascii="Whitney" w:hAnsi="Whitney"/>
                <w:b/>
                <w:sz w:val="20"/>
                <w:szCs w:val="20"/>
              </w:rPr>
            </w:pPr>
            <w:r w:rsidRPr="007D033F">
              <w:rPr>
                <w:rFonts w:ascii="Whitney" w:hAnsi="Whitney"/>
                <w:b/>
                <w:sz w:val="20"/>
                <w:szCs w:val="20"/>
              </w:rPr>
              <w:t>Medical /Personal Absence</w:t>
            </w:r>
          </w:p>
        </w:tc>
        <w:tc>
          <w:tcPr>
            <w:tcW w:w="3900" w:type="dxa"/>
            <w:gridSpan w:val="2"/>
            <w:shd w:val="clear" w:color="auto" w:fill="ABE5FF"/>
            <w:vAlign w:val="center"/>
          </w:tcPr>
          <w:p w14:paraId="4A15C656" w14:textId="77777777" w:rsidR="00A46E50" w:rsidRPr="007D033F" w:rsidRDefault="00A46E50" w:rsidP="007D033F">
            <w:pPr>
              <w:spacing w:after="0" w:line="240" w:lineRule="auto"/>
              <w:jc w:val="center"/>
              <w:rPr>
                <w:rFonts w:ascii="Whitney" w:hAnsi="Whitney"/>
                <w:b/>
                <w:sz w:val="20"/>
                <w:szCs w:val="20"/>
              </w:rPr>
            </w:pPr>
            <w:r w:rsidRPr="007D033F">
              <w:rPr>
                <w:rFonts w:ascii="Whitney" w:hAnsi="Whitney"/>
                <w:b/>
                <w:sz w:val="20"/>
                <w:szCs w:val="20"/>
              </w:rPr>
              <w:t>Research Training/Activity</w:t>
            </w:r>
          </w:p>
        </w:tc>
        <w:tc>
          <w:tcPr>
            <w:tcW w:w="1661" w:type="dxa"/>
            <w:shd w:val="clear" w:color="auto" w:fill="ABE5FF"/>
            <w:vAlign w:val="center"/>
          </w:tcPr>
          <w:p w14:paraId="4066AE61" w14:textId="77777777" w:rsidR="00A46E50" w:rsidRPr="007D033F" w:rsidRDefault="00A46E50" w:rsidP="007D033F">
            <w:pPr>
              <w:spacing w:after="0" w:line="240" w:lineRule="auto"/>
              <w:jc w:val="center"/>
              <w:rPr>
                <w:rFonts w:ascii="Whitney" w:hAnsi="Whitney"/>
                <w:b/>
                <w:sz w:val="20"/>
                <w:szCs w:val="20"/>
              </w:rPr>
            </w:pPr>
            <w:r w:rsidRPr="007D033F">
              <w:rPr>
                <w:rFonts w:ascii="Whitney" w:hAnsi="Whitney"/>
                <w:b/>
                <w:sz w:val="20"/>
                <w:szCs w:val="20"/>
              </w:rPr>
              <w:t>Location</w:t>
            </w:r>
          </w:p>
        </w:tc>
        <w:tc>
          <w:tcPr>
            <w:tcW w:w="2532" w:type="dxa"/>
            <w:shd w:val="clear" w:color="auto" w:fill="ABE5FF"/>
            <w:vAlign w:val="center"/>
          </w:tcPr>
          <w:p w14:paraId="3E3C909C" w14:textId="77777777" w:rsidR="00A46E50" w:rsidRPr="007D033F" w:rsidRDefault="00A46E50" w:rsidP="007D033F">
            <w:pPr>
              <w:spacing w:after="0" w:line="240" w:lineRule="auto"/>
              <w:jc w:val="center"/>
              <w:rPr>
                <w:rFonts w:ascii="Whitney" w:hAnsi="Whitney"/>
                <w:b/>
                <w:sz w:val="20"/>
                <w:szCs w:val="20"/>
              </w:rPr>
            </w:pPr>
            <w:r w:rsidRPr="007D033F">
              <w:rPr>
                <w:rFonts w:ascii="Whitney" w:hAnsi="Whitney"/>
                <w:b/>
                <w:sz w:val="20"/>
                <w:szCs w:val="20"/>
              </w:rPr>
              <w:t>Student’s signature</w:t>
            </w:r>
          </w:p>
        </w:tc>
        <w:tc>
          <w:tcPr>
            <w:tcW w:w="2117" w:type="dxa"/>
            <w:shd w:val="clear" w:color="auto" w:fill="ABE5FF"/>
            <w:vAlign w:val="center"/>
          </w:tcPr>
          <w:p w14:paraId="3484948D" w14:textId="77777777" w:rsidR="00A46E50" w:rsidRPr="007D033F" w:rsidRDefault="00A46E50" w:rsidP="007D033F">
            <w:pPr>
              <w:spacing w:after="0" w:line="240" w:lineRule="auto"/>
              <w:jc w:val="center"/>
              <w:rPr>
                <w:rFonts w:ascii="Whitney" w:hAnsi="Whitney"/>
                <w:b/>
                <w:sz w:val="20"/>
                <w:szCs w:val="20"/>
              </w:rPr>
            </w:pPr>
            <w:r w:rsidRPr="007D033F">
              <w:rPr>
                <w:rFonts w:ascii="Whitney" w:hAnsi="Whitney"/>
                <w:b/>
                <w:sz w:val="20"/>
                <w:szCs w:val="20"/>
              </w:rPr>
              <w:t>Supervisor’s signature</w:t>
            </w:r>
          </w:p>
        </w:tc>
      </w:tr>
      <w:tr w:rsidR="007D033F" w:rsidRPr="00761444" w14:paraId="25A157AF" w14:textId="77777777" w:rsidTr="007A0D30">
        <w:tc>
          <w:tcPr>
            <w:tcW w:w="1418" w:type="dxa"/>
            <w:shd w:val="clear" w:color="auto" w:fill="D9F3FF"/>
            <w:vAlign w:val="center"/>
          </w:tcPr>
          <w:p w14:paraId="0BC07215" w14:textId="3D5D3AF8" w:rsidR="00A46E50" w:rsidRPr="007D033F" w:rsidRDefault="00A46E50" w:rsidP="007A0D30">
            <w:pPr>
              <w:spacing w:after="0" w:line="240" w:lineRule="auto"/>
              <w:jc w:val="center"/>
              <w:rPr>
                <w:rFonts w:ascii="Whitney Light" w:hAnsi="Whitney Light"/>
                <w:b/>
                <w:sz w:val="20"/>
                <w:szCs w:val="20"/>
              </w:rPr>
            </w:pPr>
            <w:r w:rsidRPr="007D033F">
              <w:rPr>
                <w:rFonts w:ascii="Whitney Light" w:hAnsi="Whitney Light"/>
                <w:b/>
                <w:sz w:val="20"/>
                <w:szCs w:val="20"/>
              </w:rPr>
              <w:t>From:</w:t>
            </w:r>
          </w:p>
          <w:p w14:paraId="70E54354" w14:textId="400967CC" w:rsidR="00A46E50" w:rsidRPr="007D033F" w:rsidRDefault="00A46E50" w:rsidP="007A0D30">
            <w:pPr>
              <w:spacing w:after="0" w:line="240" w:lineRule="auto"/>
              <w:jc w:val="center"/>
              <w:rPr>
                <w:rFonts w:ascii="Whitney Light" w:hAnsi="Whitney Light"/>
                <w:b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D9F3FF"/>
            <w:vAlign w:val="center"/>
          </w:tcPr>
          <w:p w14:paraId="2654D418" w14:textId="3CAC1E53" w:rsidR="00A46E50" w:rsidRPr="007D033F" w:rsidRDefault="00A46E50" w:rsidP="007A0D30">
            <w:pPr>
              <w:spacing w:after="0" w:line="240" w:lineRule="auto"/>
              <w:jc w:val="center"/>
              <w:rPr>
                <w:rFonts w:ascii="Whitney Light" w:hAnsi="Whitney Light"/>
                <w:b/>
                <w:sz w:val="20"/>
                <w:szCs w:val="20"/>
              </w:rPr>
            </w:pPr>
            <w:r w:rsidRPr="007D033F">
              <w:rPr>
                <w:rFonts w:ascii="Whitney Light" w:hAnsi="Whitney Light"/>
                <w:b/>
                <w:sz w:val="20"/>
                <w:szCs w:val="20"/>
              </w:rPr>
              <w:t>To:</w:t>
            </w:r>
          </w:p>
          <w:p w14:paraId="1F5969D3" w14:textId="43DFDB98" w:rsidR="00A46E50" w:rsidRPr="007D033F" w:rsidRDefault="00A46E50" w:rsidP="007A0D30">
            <w:pPr>
              <w:spacing w:after="0" w:line="240" w:lineRule="auto"/>
              <w:jc w:val="center"/>
              <w:rPr>
                <w:rFonts w:ascii="Whitney Light" w:hAnsi="Whitney Light"/>
                <w:b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D9F3FF"/>
            <w:vAlign w:val="center"/>
          </w:tcPr>
          <w:p w14:paraId="443D739B" w14:textId="77777777" w:rsidR="00A46E50" w:rsidRPr="007D033F" w:rsidRDefault="00A46E50" w:rsidP="007A0D30">
            <w:pPr>
              <w:spacing w:after="0" w:line="240" w:lineRule="auto"/>
              <w:jc w:val="center"/>
              <w:rPr>
                <w:rFonts w:ascii="Whitney Light" w:hAnsi="Whitney Light"/>
                <w:b/>
                <w:sz w:val="20"/>
                <w:szCs w:val="20"/>
              </w:rPr>
            </w:pPr>
            <w:r w:rsidRPr="007D033F">
              <w:rPr>
                <w:rFonts w:ascii="Whitney Light" w:hAnsi="Whitney Light"/>
                <w:b/>
                <w:sz w:val="20"/>
                <w:szCs w:val="20"/>
              </w:rPr>
              <w:t>No. of Days</w:t>
            </w:r>
          </w:p>
        </w:tc>
        <w:tc>
          <w:tcPr>
            <w:tcW w:w="1081" w:type="dxa"/>
            <w:shd w:val="clear" w:color="auto" w:fill="D9F3FF"/>
            <w:vAlign w:val="center"/>
          </w:tcPr>
          <w:p w14:paraId="0488E4BE" w14:textId="77777777" w:rsidR="00A46E50" w:rsidRPr="007D033F" w:rsidRDefault="00A46E50" w:rsidP="007A0D30">
            <w:pPr>
              <w:spacing w:after="0" w:line="240" w:lineRule="auto"/>
              <w:jc w:val="center"/>
              <w:rPr>
                <w:rFonts w:ascii="Whitney Light" w:hAnsi="Whitney Light"/>
                <w:b/>
                <w:sz w:val="20"/>
                <w:szCs w:val="20"/>
              </w:rPr>
            </w:pPr>
            <w:r w:rsidRPr="007D033F">
              <w:rPr>
                <w:rFonts w:ascii="Whitney Light" w:hAnsi="Whitney Light"/>
                <w:b/>
                <w:sz w:val="20"/>
                <w:szCs w:val="20"/>
              </w:rPr>
              <w:t>No. of Days</w:t>
            </w:r>
          </w:p>
        </w:tc>
        <w:tc>
          <w:tcPr>
            <w:tcW w:w="1066" w:type="dxa"/>
            <w:shd w:val="clear" w:color="auto" w:fill="D9F3FF"/>
            <w:vAlign w:val="center"/>
          </w:tcPr>
          <w:p w14:paraId="12BC01ED" w14:textId="77777777" w:rsidR="00A46E50" w:rsidRPr="007D033F" w:rsidRDefault="00A46E50" w:rsidP="007A0D30">
            <w:pPr>
              <w:spacing w:after="0" w:line="240" w:lineRule="auto"/>
              <w:jc w:val="center"/>
              <w:rPr>
                <w:rFonts w:ascii="Whitney Light" w:hAnsi="Whitney Light"/>
                <w:b/>
                <w:sz w:val="20"/>
                <w:szCs w:val="20"/>
              </w:rPr>
            </w:pPr>
            <w:r w:rsidRPr="007D033F">
              <w:rPr>
                <w:rFonts w:ascii="Whitney Light" w:hAnsi="Whitney Light"/>
                <w:b/>
                <w:sz w:val="20"/>
                <w:szCs w:val="20"/>
              </w:rPr>
              <w:t>No. of Days</w:t>
            </w:r>
          </w:p>
        </w:tc>
        <w:tc>
          <w:tcPr>
            <w:tcW w:w="883" w:type="dxa"/>
            <w:shd w:val="clear" w:color="auto" w:fill="D9F3FF"/>
            <w:vAlign w:val="center"/>
          </w:tcPr>
          <w:p w14:paraId="51A29DB7" w14:textId="77777777" w:rsidR="00A46E50" w:rsidRPr="007D033F" w:rsidRDefault="00A46E50" w:rsidP="007A0D30">
            <w:pPr>
              <w:spacing w:after="0" w:line="240" w:lineRule="auto"/>
              <w:jc w:val="center"/>
              <w:rPr>
                <w:rFonts w:ascii="Whitney Light" w:hAnsi="Whitney Light"/>
                <w:b/>
                <w:sz w:val="20"/>
                <w:szCs w:val="20"/>
              </w:rPr>
            </w:pPr>
            <w:r w:rsidRPr="007D033F">
              <w:rPr>
                <w:rFonts w:ascii="Whitney Light" w:hAnsi="Whitney Light"/>
                <w:b/>
                <w:sz w:val="20"/>
                <w:szCs w:val="20"/>
              </w:rPr>
              <w:t>No. of Days</w:t>
            </w:r>
          </w:p>
        </w:tc>
        <w:tc>
          <w:tcPr>
            <w:tcW w:w="3017" w:type="dxa"/>
            <w:shd w:val="clear" w:color="auto" w:fill="D9F3FF"/>
            <w:vAlign w:val="center"/>
          </w:tcPr>
          <w:p w14:paraId="66894D4B" w14:textId="77777777" w:rsidR="00A46E50" w:rsidRPr="007D033F" w:rsidRDefault="00A46E50" w:rsidP="007A0D30">
            <w:pPr>
              <w:spacing w:after="0" w:line="240" w:lineRule="auto"/>
              <w:jc w:val="center"/>
              <w:rPr>
                <w:rFonts w:ascii="Whitney Light" w:hAnsi="Whitney Light"/>
                <w:b/>
                <w:sz w:val="20"/>
                <w:szCs w:val="20"/>
              </w:rPr>
            </w:pPr>
            <w:r w:rsidRPr="007D033F">
              <w:rPr>
                <w:rFonts w:ascii="Whitney Light" w:hAnsi="Whitney Light"/>
                <w:b/>
                <w:sz w:val="20"/>
                <w:szCs w:val="20"/>
              </w:rPr>
              <w:t>Activity Type</w:t>
            </w:r>
          </w:p>
        </w:tc>
        <w:tc>
          <w:tcPr>
            <w:tcW w:w="1661" w:type="dxa"/>
            <w:shd w:val="clear" w:color="auto" w:fill="D9F3FF"/>
            <w:vAlign w:val="center"/>
          </w:tcPr>
          <w:p w14:paraId="3C6731F4" w14:textId="77777777" w:rsidR="00A46E50" w:rsidRPr="007D033F" w:rsidRDefault="00A46E50" w:rsidP="007A0D30">
            <w:pPr>
              <w:spacing w:after="0" w:line="240" w:lineRule="auto"/>
              <w:jc w:val="center"/>
              <w:rPr>
                <w:rFonts w:ascii="Whitney Light" w:hAnsi="Whitney Light"/>
                <w:b/>
                <w:sz w:val="20"/>
                <w:szCs w:val="20"/>
              </w:rPr>
            </w:pPr>
            <w:r w:rsidRPr="007D033F">
              <w:rPr>
                <w:rFonts w:ascii="Whitney Light" w:hAnsi="Whitney Light"/>
                <w:b/>
                <w:sz w:val="20"/>
                <w:szCs w:val="20"/>
              </w:rPr>
              <w:t>City, country</w:t>
            </w:r>
          </w:p>
        </w:tc>
        <w:tc>
          <w:tcPr>
            <w:tcW w:w="2532" w:type="dxa"/>
            <w:shd w:val="clear" w:color="auto" w:fill="D9D9D9"/>
          </w:tcPr>
          <w:p w14:paraId="5DF43335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117" w:type="dxa"/>
            <w:shd w:val="clear" w:color="auto" w:fill="D9D9D9"/>
          </w:tcPr>
          <w:p w14:paraId="7C5D62B9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b/>
                <w:sz w:val="20"/>
                <w:szCs w:val="20"/>
                <w:highlight w:val="lightGray"/>
              </w:rPr>
            </w:pPr>
          </w:p>
        </w:tc>
      </w:tr>
      <w:tr w:rsidR="00A46E50" w:rsidRPr="00761444" w14:paraId="17061DC8" w14:textId="77777777" w:rsidTr="007D033F">
        <w:trPr>
          <w:trHeight w:val="340"/>
        </w:trPr>
        <w:tc>
          <w:tcPr>
            <w:tcW w:w="1418" w:type="dxa"/>
          </w:tcPr>
          <w:p w14:paraId="39AD8D72" w14:textId="3C4FE7F1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b/>
                <w:sz w:val="18"/>
                <w:szCs w:val="18"/>
              </w:rPr>
            </w:pPr>
          </w:p>
        </w:tc>
        <w:tc>
          <w:tcPr>
            <w:tcW w:w="1365" w:type="dxa"/>
          </w:tcPr>
          <w:p w14:paraId="52182315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b/>
                <w:sz w:val="18"/>
                <w:szCs w:val="18"/>
              </w:rPr>
            </w:pPr>
          </w:p>
        </w:tc>
        <w:tc>
          <w:tcPr>
            <w:tcW w:w="991" w:type="dxa"/>
          </w:tcPr>
          <w:p w14:paraId="0306C036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b/>
                <w:sz w:val="18"/>
                <w:szCs w:val="18"/>
              </w:rPr>
            </w:pPr>
          </w:p>
        </w:tc>
        <w:tc>
          <w:tcPr>
            <w:tcW w:w="1081" w:type="dxa"/>
          </w:tcPr>
          <w:p w14:paraId="35089A74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b/>
                <w:sz w:val="18"/>
                <w:szCs w:val="18"/>
              </w:rPr>
            </w:pPr>
          </w:p>
        </w:tc>
        <w:tc>
          <w:tcPr>
            <w:tcW w:w="1066" w:type="dxa"/>
          </w:tcPr>
          <w:p w14:paraId="261A2EE2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883" w:type="dxa"/>
          </w:tcPr>
          <w:p w14:paraId="55855D4E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3017" w:type="dxa"/>
          </w:tcPr>
          <w:p w14:paraId="785964EE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1661" w:type="dxa"/>
          </w:tcPr>
          <w:p w14:paraId="1881F85F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2532" w:type="dxa"/>
          </w:tcPr>
          <w:p w14:paraId="4D221C5E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2117" w:type="dxa"/>
          </w:tcPr>
          <w:p w14:paraId="30A72368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</w:tr>
      <w:tr w:rsidR="00A46E50" w:rsidRPr="00761444" w14:paraId="562C7177" w14:textId="77777777" w:rsidTr="007D033F">
        <w:trPr>
          <w:trHeight w:val="340"/>
        </w:trPr>
        <w:tc>
          <w:tcPr>
            <w:tcW w:w="1418" w:type="dxa"/>
          </w:tcPr>
          <w:p w14:paraId="60B142B1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1365" w:type="dxa"/>
          </w:tcPr>
          <w:p w14:paraId="0B58739E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991" w:type="dxa"/>
          </w:tcPr>
          <w:p w14:paraId="5B583CC7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1081" w:type="dxa"/>
          </w:tcPr>
          <w:p w14:paraId="632089F7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1066" w:type="dxa"/>
          </w:tcPr>
          <w:p w14:paraId="7259A33E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883" w:type="dxa"/>
          </w:tcPr>
          <w:p w14:paraId="73D86B8B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3017" w:type="dxa"/>
          </w:tcPr>
          <w:p w14:paraId="50A2B499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1661" w:type="dxa"/>
          </w:tcPr>
          <w:p w14:paraId="0CF72A3A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2532" w:type="dxa"/>
          </w:tcPr>
          <w:p w14:paraId="011BA1FB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2117" w:type="dxa"/>
          </w:tcPr>
          <w:p w14:paraId="1C21C26C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</w:tr>
      <w:tr w:rsidR="00A46E50" w:rsidRPr="00761444" w14:paraId="5715426C" w14:textId="77777777" w:rsidTr="007D033F">
        <w:trPr>
          <w:trHeight w:val="340"/>
        </w:trPr>
        <w:tc>
          <w:tcPr>
            <w:tcW w:w="1418" w:type="dxa"/>
          </w:tcPr>
          <w:p w14:paraId="0209CB79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1365" w:type="dxa"/>
          </w:tcPr>
          <w:p w14:paraId="4CCF85AC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991" w:type="dxa"/>
          </w:tcPr>
          <w:p w14:paraId="5047F17A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1081" w:type="dxa"/>
          </w:tcPr>
          <w:p w14:paraId="7307A591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1066" w:type="dxa"/>
          </w:tcPr>
          <w:p w14:paraId="07679A20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883" w:type="dxa"/>
          </w:tcPr>
          <w:p w14:paraId="2C906736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3017" w:type="dxa"/>
          </w:tcPr>
          <w:p w14:paraId="3AD45530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1661" w:type="dxa"/>
          </w:tcPr>
          <w:p w14:paraId="7ED4F2B8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2532" w:type="dxa"/>
          </w:tcPr>
          <w:p w14:paraId="4A706658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2117" w:type="dxa"/>
          </w:tcPr>
          <w:p w14:paraId="55130E37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</w:tr>
      <w:tr w:rsidR="00A46E50" w:rsidRPr="00761444" w14:paraId="1F1B02F4" w14:textId="77777777" w:rsidTr="007D033F">
        <w:trPr>
          <w:trHeight w:val="340"/>
        </w:trPr>
        <w:tc>
          <w:tcPr>
            <w:tcW w:w="1418" w:type="dxa"/>
          </w:tcPr>
          <w:p w14:paraId="65A21F65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1365" w:type="dxa"/>
          </w:tcPr>
          <w:p w14:paraId="179B50B1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991" w:type="dxa"/>
          </w:tcPr>
          <w:p w14:paraId="3C735877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1081" w:type="dxa"/>
          </w:tcPr>
          <w:p w14:paraId="30158F9E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1066" w:type="dxa"/>
          </w:tcPr>
          <w:p w14:paraId="463377B1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883" w:type="dxa"/>
          </w:tcPr>
          <w:p w14:paraId="3F838C3B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3017" w:type="dxa"/>
          </w:tcPr>
          <w:p w14:paraId="34A77F7D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1661" w:type="dxa"/>
          </w:tcPr>
          <w:p w14:paraId="18D29FE6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2532" w:type="dxa"/>
          </w:tcPr>
          <w:p w14:paraId="634D0AF3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2117" w:type="dxa"/>
          </w:tcPr>
          <w:p w14:paraId="1DAA08A9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</w:tr>
      <w:tr w:rsidR="00A46E50" w:rsidRPr="00761444" w14:paraId="7741074F" w14:textId="77777777" w:rsidTr="007D033F">
        <w:trPr>
          <w:trHeight w:val="340"/>
        </w:trPr>
        <w:tc>
          <w:tcPr>
            <w:tcW w:w="1418" w:type="dxa"/>
          </w:tcPr>
          <w:p w14:paraId="6A4D1006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1365" w:type="dxa"/>
          </w:tcPr>
          <w:p w14:paraId="296C97AA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991" w:type="dxa"/>
          </w:tcPr>
          <w:p w14:paraId="4603144C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1081" w:type="dxa"/>
          </w:tcPr>
          <w:p w14:paraId="7F2E82A5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1066" w:type="dxa"/>
          </w:tcPr>
          <w:p w14:paraId="3656E862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883" w:type="dxa"/>
          </w:tcPr>
          <w:p w14:paraId="3F1DB591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3017" w:type="dxa"/>
          </w:tcPr>
          <w:p w14:paraId="71CB5DD4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1661" w:type="dxa"/>
          </w:tcPr>
          <w:p w14:paraId="21DB8C46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2532" w:type="dxa"/>
          </w:tcPr>
          <w:p w14:paraId="7EA10F73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2117" w:type="dxa"/>
          </w:tcPr>
          <w:p w14:paraId="03DAAD8F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</w:tr>
      <w:tr w:rsidR="00A46E50" w:rsidRPr="00761444" w14:paraId="08BDA55C" w14:textId="77777777" w:rsidTr="007D033F">
        <w:trPr>
          <w:trHeight w:val="340"/>
        </w:trPr>
        <w:tc>
          <w:tcPr>
            <w:tcW w:w="1418" w:type="dxa"/>
          </w:tcPr>
          <w:p w14:paraId="14C26307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1365" w:type="dxa"/>
          </w:tcPr>
          <w:p w14:paraId="005DCACE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991" w:type="dxa"/>
          </w:tcPr>
          <w:p w14:paraId="2939EA59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1081" w:type="dxa"/>
          </w:tcPr>
          <w:p w14:paraId="2DE023F0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1066" w:type="dxa"/>
          </w:tcPr>
          <w:p w14:paraId="0ACF7A9E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883" w:type="dxa"/>
          </w:tcPr>
          <w:p w14:paraId="549FBD5D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3017" w:type="dxa"/>
          </w:tcPr>
          <w:p w14:paraId="0F307AF2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1661" w:type="dxa"/>
          </w:tcPr>
          <w:p w14:paraId="51E94771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2532" w:type="dxa"/>
          </w:tcPr>
          <w:p w14:paraId="7D66965C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2117" w:type="dxa"/>
          </w:tcPr>
          <w:p w14:paraId="63A33F3B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</w:tr>
      <w:tr w:rsidR="00A46E50" w:rsidRPr="00761444" w14:paraId="2E11AEE0" w14:textId="77777777" w:rsidTr="007D033F">
        <w:trPr>
          <w:trHeight w:val="340"/>
        </w:trPr>
        <w:tc>
          <w:tcPr>
            <w:tcW w:w="1418" w:type="dxa"/>
          </w:tcPr>
          <w:p w14:paraId="6E7D759D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1365" w:type="dxa"/>
          </w:tcPr>
          <w:p w14:paraId="5E15F4E8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991" w:type="dxa"/>
          </w:tcPr>
          <w:p w14:paraId="0B613F47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1081" w:type="dxa"/>
          </w:tcPr>
          <w:p w14:paraId="2CC535D9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1066" w:type="dxa"/>
          </w:tcPr>
          <w:p w14:paraId="24AFA25F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883" w:type="dxa"/>
          </w:tcPr>
          <w:p w14:paraId="00F4D681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3017" w:type="dxa"/>
          </w:tcPr>
          <w:p w14:paraId="4BD5CAFC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1661" w:type="dxa"/>
          </w:tcPr>
          <w:p w14:paraId="63D90142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2532" w:type="dxa"/>
          </w:tcPr>
          <w:p w14:paraId="171232DF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2117" w:type="dxa"/>
          </w:tcPr>
          <w:p w14:paraId="30364C16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</w:tr>
      <w:tr w:rsidR="00A46E50" w:rsidRPr="00761444" w14:paraId="7122459B" w14:textId="77777777" w:rsidTr="007D033F">
        <w:trPr>
          <w:trHeight w:val="340"/>
        </w:trPr>
        <w:tc>
          <w:tcPr>
            <w:tcW w:w="1418" w:type="dxa"/>
          </w:tcPr>
          <w:p w14:paraId="776E9AC4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1365" w:type="dxa"/>
          </w:tcPr>
          <w:p w14:paraId="693457C6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991" w:type="dxa"/>
          </w:tcPr>
          <w:p w14:paraId="18182977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1081" w:type="dxa"/>
          </w:tcPr>
          <w:p w14:paraId="71FB683C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1066" w:type="dxa"/>
          </w:tcPr>
          <w:p w14:paraId="54DAB3DE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883" w:type="dxa"/>
          </w:tcPr>
          <w:p w14:paraId="65331F0B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3017" w:type="dxa"/>
          </w:tcPr>
          <w:p w14:paraId="753AC933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1661" w:type="dxa"/>
          </w:tcPr>
          <w:p w14:paraId="6B45B26B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2532" w:type="dxa"/>
          </w:tcPr>
          <w:p w14:paraId="6BDAADAD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2117" w:type="dxa"/>
          </w:tcPr>
          <w:p w14:paraId="3F45BAF6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</w:tr>
      <w:tr w:rsidR="00A46E50" w:rsidRPr="00761444" w14:paraId="40119219" w14:textId="77777777" w:rsidTr="007D033F">
        <w:trPr>
          <w:trHeight w:val="340"/>
        </w:trPr>
        <w:tc>
          <w:tcPr>
            <w:tcW w:w="1418" w:type="dxa"/>
          </w:tcPr>
          <w:p w14:paraId="4AD54E22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1365" w:type="dxa"/>
          </w:tcPr>
          <w:p w14:paraId="74234DE2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991" w:type="dxa"/>
          </w:tcPr>
          <w:p w14:paraId="096FC7A6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1081" w:type="dxa"/>
          </w:tcPr>
          <w:p w14:paraId="204AD830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1066" w:type="dxa"/>
          </w:tcPr>
          <w:p w14:paraId="72547BB5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883" w:type="dxa"/>
          </w:tcPr>
          <w:p w14:paraId="2E1AB987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3017" w:type="dxa"/>
          </w:tcPr>
          <w:p w14:paraId="524C43BD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1661" w:type="dxa"/>
          </w:tcPr>
          <w:p w14:paraId="52CF7F61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2532" w:type="dxa"/>
          </w:tcPr>
          <w:p w14:paraId="7D567E48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  <w:tc>
          <w:tcPr>
            <w:tcW w:w="2117" w:type="dxa"/>
          </w:tcPr>
          <w:p w14:paraId="7A378C62" w14:textId="77777777" w:rsidR="00A46E50" w:rsidRPr="007D033F" w:rsidRDefault="00A46E50" w:rsidP="00000417">
            <w:pPr>
              <w:spacing w:after="0" w:line="240" w:lineRule="auto"/>
              <w:rPr>
                <w:rFonts w:ascii="Whitney Light" w:hAnsi="Whitney Light"/>
                <w:sz w:val="18"/>
                <w:szCs w:val="18"/>
              </w:rPr>
            </w:pPr>
          </w:p>
        </w:tc>
      </w:tr>
    </w:tbl>
    <w:p w14:paraId="75C09CC4" w14:textId="77777777" w:rsidR="00A46E50" w:rsidRPr="00A46E50" w:rsidRDefault="00A46E50" w:rsidP="00A46E50">
      <w:pPr>
        <w:rPr>
          <w:rFonts w:ascii="Whitney" w:hAnsi="Whitney"/>
          <w:sz w:val="24"/>
          <w:szCs w:val="24"/>
        </w:rPr>
      </w:pPr>
      <w:bookmarkStart w:id="0" w:name="_GoBack"/>
      <w:bookmarkEnd w:id="0"/>
    </w:p>
    <w:sectPr w:rsidR="00A46E50" w:rsidRPr="00A46E50" w:rsidSect="007A0D30">
      <w:headerReference w:type="default" r:id="rId7"/>
      <w:footerReference w:type="default" r:id="rId8"/>
      <w:pgSz w:w="16838" w:h="11906" w:orient="landscape"/>
      <w:pgMar w:top="1440" w:right="1440" w:bottom="1440" w:left="1440" w:header="284" w:footer="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17B51" w14:textId="77777777" w:rsidR="0012311F" w:rsidRDefault="0012311F" w:rsidP="00A36193">
      <w:pPr>
        <w:spacing w:after="0" w:line="240" w:lineRule="auto"/>
      </w:pPr>
      <w:r>
        <w:separator/>
      </w:r>
    </w:p>
  </w:endnote>
  <w:endnote w:type="continuationSeparator" w:id="0">
    <w:p w14:paraId="6CD116CD" w14:textId="77777777" w:rsidR="0012311F" w:rsidRDefault="0012311F" w:rsidP="00A3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hitney"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Whitney Light"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B92B3" w14:textId="1D7C77AB" w:rsidR="00A46E50" w:rsidRPr="000F4B1C" w:rsidRDefault="00A46E50" w:rsidP="00A46E50">
    <w:pPr>
      <w:spacing w:after="200" w:line="276" w:lineRule="auto"/>
      <w:rPr>
        <w:rFonts w:ascii="Whitney" w:eastAsia="Calibri" w:hAnsi="Whitney" w:cs="Times New Roman"/>
        <w:b/>
        <w:kern w:val="0"/>
        <w:sz w:val="20"/>
        <w:szCs w:val="20"/>
        <w14:ligatures w14:val="none"/>
      </w:rPr>
    </w:pPr>
    <w:r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*202</w:t>
    </w:r>
    <w:r w:rsidR="000F4B1C"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4</w:t>
    </w:r>
    <w:r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/2</w:t>
    </w:r>
    <w:r w:rsidR="000F4B1C"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5</w:t>
    </w:r>
    <w:r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 xml:space="preserve"> </w:t>
    </w:r>
    <w:hyperlink r:id="rId1" w:history="1">
      <w:r w:rsidRPr="000F4B1C">
        <w:rPr>
          <w:rStyle w:val="Hyperlink"/>
          <w:rFonts w:ascii="Whitney" w:eastAsia="Calibri" w:hAnsi="Whitney" w:cs="Times New Roman"/>
          <w:kern w:val="0"/>
          <w:sz w:val="20"/>
          <w:szCs w:val="20"/>
          <w14:ligatures w14:val="none"/>
        </w:rPr>
        <w:t>Public holidays</w:t>
      </w:r>
    </w:hyperlink>
    <w:r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:  Christmas and Boxing Day (2</w:t>
    </w:r>
    <w:r w:rsidR="005A05B3"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5</w:t>
    </w:r>
    <w:r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.12.2</w:t>
    </w:r>
    <w:r w:rsidR="000F4B1C"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4</w:t>
    </w:r>
    <w:r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, 2</w:t>
    </w:r>
    <w:r w:rsidR="005A05B3"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6</w:t>
    </w:r>
    <w:r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.12.2</w:t>
    </w:r>
    <w:r w:rsidR="000F4B1C"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4</w:t>
    </w:r>
    <w:r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); New Year (0</w:t>
    </w:r>
    <w:r w:rsidR="00B84B3A"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1</w:t>
    </w:r>
    <w:r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.01.2</w:t>
    </w:r>
    <w:r w:rsidR="000F4B1C"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5</w:t>
    </w:r>
    <w:r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; 0</w:t>
    </w:r>
    <w:r w:rsidR="00B84B3A"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2</w:t>
    </w:r>
    <w:r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.01.2</w:t>
    </w:r>
    <w:r w:rsidR="000F4B1C"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5</w:t>
    </w:r>
    <w:r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 xml:space="preserve"> – </w:t>
    </w:r>
    <w:r w:rsidRPr="000F4B1C">
      <w:rPr>
        <w:rFonts w:ascii="Whitney" w:eastAsia="Calibri" w:hAnsi="Whitney" w:cs="Times New Roman"/>
        <w:b/>
        <w:kern w:val="0"/>
        <w:sz w:val="20"/>
        <w:szCs w:val="20"/>
        <w14:ligatures w14:val="none"/>
      </w:rPr>
      <w:t>Glasgow only</w:t>
    </w:r>
    <w:r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); Good Friday and Easter (</w:t>
    </w:r>
    <w:r w:rsidR="000F4B1C"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18.04.25</w:t>
    </w:r>
    <w:r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 xml:space="preserve">, </w:t>
    </w:r>
    <w:r w:rsidR="000F4B1C"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21</w:t>
    </w:r>
    <w:r w:rsidR="000F4B1C"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.04.25</w:t>
    </w:r>
    <w:r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); May Day (0</w:t>
    </w:r>
    <w:r w:rsidR="000F4B1C"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5</w:t>
    </w:r>
    <w:r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.05.2</w:t>
    </w:r>
    <w:r w:rsidR="000F4B1C"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5</w:t>
    </w:r>
    <w:r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); Spring Bank Holiday (2</w:t>
    </w:r>
    <w:r w:rsidR="000F4B1C"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6</w:t>
    </w:r>
    <w:r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.05.2</w:t>
    </w:r>
    <w:r w:rsidR="000F4B1C"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5</w:t>
    </w:r>
    <w:r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);  Glasgow Fair (</w:t>
    </w:r>
    <w:r w:rsidR="000F4B1C"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21</w:t>
    </w:r>
    <w:r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.07.2</w:t>
    </w:r>
    <w:r w:rsidR="000F4B1C"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5</w:t>
    </w:r>
    <w:r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 xml:space="preserve"> – </w:t>
    </w:r>
    <w:r w:rsidRPr="000F4B1C">
      <w:rPr>
        <w:rFonts w:ascii="Whitney" w:eastAsia="Calibri" w:hAnsi="Whitney" w:cs="Times New Roman"/>
        <w:b/>
        <w:kern w:val="0"/>
        <w:sz w:val="20"/>
        <w:szCs w:val="20"/>
        <w14:ligatures w14:val="none"/>
      </w:rPr>
      <w:t>Glasgow only</w:t>
    </w:r>
    <w:r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); Summer Bank Holiday (</w:t>
    </w:r>
    <w:r w:rsidR="003D5464"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2</w:t>
    </w:r>
    <w:r w:rsidR="000F4B1C"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5</w:t>
    </w:r>
    <w:r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.08.2</w:t>
    </w:r>
    <w:r w:rsidR="000F4B1C"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5</w:t>
    </w:r>
    <w:r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 xml:space="preserve">– </w:t>
    </w:r>
    <w:r w:rsidRPr="000F4B1C">
      <w:rPr>
        <w:rFonts w:ascii="Whitney" w:eastAsia="Calibri" w:hAnsi="Whitney" w:cs="Times New Roman"/>
        <w:b/>
        <w:kern w:val="0"/>
        <w:sz w:val="20"/>
        <w:szCs w:val="20"/>
        <w14:ligatures w14:val="none"/>
      </w:rPr>
      <w:t>London only</w:t>
    </w:r>
    <w:r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); September Weekend (2</w:t>
    </w:r>
    <w:r w:rsidR="003D5464"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7</w:t>
    </w:r>
    <w:r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.09.2</w:t>
    </w:r>
    <w:r w:rsidR="003D5464"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 xml:space="preserve">4 - </w:t>
    </w:r>
    <w:r w:rsidR="003D5464" w:rsidRPr="000F4B1C">
      <w:rPr>
        <w:rFonts w:ascii="Whitney" w:eastAsia="Calibri" w:hAnsi="Whitney" w:cs="Times New Roman"/>
        <w:b/>
        <w:kern w:val="0"/>
        <w:sz w:val="20"/>
        <w:szCs w:val="20"/>
        <w14:ligatures w14:val="none"/>
      </w:rPr>
      <w:t>Glasgow academic only</w:t>
    </w:r>
    <w:r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 xml:space="preserve">, </w:t>
    </w:r>
    <w:r w:rsidR="003D5464"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30</w:t>
    </w:r>
    <w:r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.09.2</w:t>
    </w:r>
    <w:r w:rsidR="003D5464"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4</w:t>
    </w:r>
    <w:r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 xml:space="preserve"> – </w:t>
    </w:r>
    <w:r w:rsidRPr="000F4B1C">
      <w:rPr>
        <w:rFonts w:ascii="Whitney" w:eastAsia="Calibri" w:hAnsi="Whitney" w:cs="Times New Roman"/>
        <w:b/>
        <w:kern w:val="0"/>
        <w:sz w:val="20"/>
        <w:szCs w:val="20"/>
        <w14:ligatures w14:val="none"/>
      </w:rPr>
      <w:t>Glasgow only</w:t>
    </w:r>
    <w:r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)</w:t>
    </w:r>
  </w:p>
  <w:p w14:paraId="1656718A" w14:textId="20E432CB" w:rsidR="00A46E50" w:rsidRPr="000F4B1C" w:rsidRDefault="00A46E50" w:rsidP="00A46E50">
    <w:pPr>
      <w:spacing w:after="200" w:line="276" w:lineRule="auto"/>
      <w:rPr>
        <w:rFonts w:ascii="Whitney" w:eastAsia="Calibri" w:hAnsi="Whitney" w:cs="Times New Roman"/>
        <w:kern w:val="0"/>
        <w:sz w:val="20"/>
        <w:szCs w:val="20"/>
        <w14:ligatures w14:val="none"/>
      </w:rPr>
    </w:pPr>
    <w:r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**</w:t>
    </w:r>
    <w:r w:rsidR="003D5464" w:rsidRPr="000F4B1C">
      <w:t xml:space="preserve"> </w:t>
    </w:r>
    <w:r w:rsidR="003D5464"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>Glasgow Caledonian University is normally closed for 3 days that are not included in Academic, Research and Senior Management public holiday entitlement, which falls between Christmas and New Year. These should be deducted from your annual leave entitlement.</w:t>
    </w:r>
    <w:r w:rsidRPr="000F4B1C">
      <w:rPr>
        <w:rFonts w:ascii="Whitney" w:eastAsia="Calibri" w:hAnsi="Whitney" w:cs="Times New Roman"/>
        <w:kern w:val="0"/>
        <w:sz w:val="20"/>
        <w:szCs w:val="20"/>
        <w14:ligatures w14:val="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F1BAE" w14:textId="77777777" w:rsidR="0012311F" w:rsidRDefault="0012311F" w:rsidP="00A36193">
      <w:pPr>
        <w:spacing w:after="0" w:line="240" w:lineRule="auto"/>
      </w:pPr>
      <w:r>
        <w:separator/>
      </w:r>
    </w:p>
  </w:footnote>
  <w:footnote w:type="continuationSeparator" w:id="0">
    <w:p w14:paraId="687C9D53" w14:textId="77777777" w:rsidR="0012311F" w:rsidRDefault="0012311F" w:rsidP="00A36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F2458" w14:textId="0A289A1C" w:rsidR="00A36193" w:rsidRPr="00A46E50" w:rsidRDefault="007A0D30" w:rsidP="007A0D30">
    <w:pPr>
      <w:pStyle w:val="Header"/>
      <w:tabs>
        <w:tab w:val="left" w:pos="380"/>
        <w:tab w:val="right" w:pos="13958"/>
      </w:tabs>
      <w:rPr>
        <w:rFonts w:ascii="Whitney" w:hAnsi="Whitney" w:cstheme="minorHAnsi"/>
        <w:color w:val="252379"/>
        <w:sz w:val="24"/>
        <w:szCs w:val="24"/>
      </w:rPr>
    </w:pPr>
    <w:r w:rsidRPr="00A46E50">
      <w:rPr>
        <w:rFonts w:ascii="Whitney" w:hAnsi="Whitney" w:cstheme="minorHAnsi"/>
        <w:color w:val="252379"/>
        <w:sz w:val="24"/>
        <w:szCs w:val="24"/>
      </w:rPr>
      <w:t>The Graduate School</w:t>
    </w:r>
    <w:r>
      <w:rPr>
        <w:rFonts w:ascii="Whitney" w:hAnsi="Whitney" w:cstheme="minorHAnsi"/>
        <w:color w:val="252379"/>
        <w:sz w:val="24"/>
        <w:szCs w:val="24"/>
      </w:rPr>
      <w:tab/>
    </w:r>
    <w:r>
      <w:rPr>
        <w:rFonts w:ascii="Whitney" w:hAnsi="Whitney" w:cstheme="minorHAnsi"/>
        <w:color w:val="252379"/>
        <w:sz w:val="24"/>
        <w:szCs w:val="24"/>
      </w:rPr>
      <w:tab/>
    </w:r>
    <w:r>
      <w:rPr>
        <w:rFonts w:ascii="Whitney" w:hAnsi="Whitney" w:cstheme="minorHAnsi"/>
        <w:color w:val="252379"/>
        <w:sz w:val="24"/>
        <w:szCs w:val="24"/>
      </w:rPr>
      <w:tab/>
    </w:r>
    <w:r w:rsidR="00115164" w:rsidRPr="00A46E50">
      <w:rPr>
        <w:b/>
        <w:noProof/>
        <w:color w:val="252379"/>
        <w:sz w:val="36"/>
        <w:szCs w:val="36"/>
        <w:lang w:eastAsia="en-GB"/>
      </w:rPr>
      <w:drawing>
        <wp:inline distT="0" distB="0" distL="0" distR="0" wp14:anchorId="17758C04" wp14:editId="3E6DCA67">
          <wp:extent cx="919480" cy="546735"/>
          <wp:effectExtent l="0" t="0" r="0" b="5715"/>
          <wp:docPr id="813482751" name="Picture 813482751" descr="Official logo of Glasgow Caledonian University - for the Common Go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Official logo of Glasgow Caledonian University - for the Common Goo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48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93"/>
    <w:rsid w:val="000F4B1C"/>
    <w:rsid w:val="00115164"/>
    <w:rsid w:val="0012311F"/>
    <w:rsid w:val="003A4757"/>
    <w:rsid w:val="003D5464"/>
    <w:rsid w:val="00443826"/>
    <w:rsid w:val="005A05B3"/>
    <w:rsid w:val="007A0D30"/>
    <w:rsid w:val="007B28C2"/>
    <w:rsid w:val="007C3AB6"/>
    <w:rsid w:val="007D033F"/>
    <w:rsid w:val="0081607D"/>
    <w:rsid w:val="00843BDA"/>
    <w:rsid w:val="00903276"/>
    <w:rsid w:val="00A36193"/>
    <w:rsid w:val="00A46E50"/>
    <w:rsid w:val="00B84B3A"/>
    <w:rsid w:val="00C4796E"/>
    <w:rsid w:val="00D86E8D"/>
    <w:rsid w:val="00E037E5"/>
    <w:rsid w:val="00E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07A3D"/>
  <w15:chartTrackingRefBased/>
  <w15:docId w15:val="{FBB7BE2E-1D53-4FF5-8F32-4B91C4DD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6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193"/>
  </w:style>
  <w:style w:type="paragraph" w:styleId="Footer">
    <w:name w:val="footer"/>
    <w:basedOn w:val="Normal"/>
    <w:link w:val="FooterChar"/>
    <w:uiPriority w:val="99"/>
    <w:unhideWhenUsed/>
    <w:rsid w:val="00A36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193"/>
  </w:style>
  <w:style w:type="character" w:styleId="Hyperlink">
    <w:name w:val="Hyperlink"/>
    <w:basedOn w:val="DefaultParagraphFont"/>
    <w:uiPriority w:val="99"/>
    <w:unhideWhenUsed/>
    <w:rsid w:val="005A05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cu.ac.uk/research/graduateschool/theresearchstudenthandbook/absenc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cu.ac.uk/currentstudents/essentials/timetable/calend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Covic, Ivana</cp:lastModifiedBy>
  <cp:revision>4</cp:revision>
  <dcterms:created xsi:type="dcterms:W3CDTF">2024-10-08T09:14:00Z</dcterms:created>
  <dcterms:modified xsi:type="dcterms:W3CDTF">2024-10-08T09:23:00Z</dcterms:modified>
</cp:coreProperties>
</file>