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C72" w:rsidRDefault="00F354D8" w:rsidP="00D9064C">
      <w:bookmarkStart w:id="0" w:name="_GoBack"/>
      <w:bookmarkEnd w:id="0"/>
      <w:r w:rsidRPr="00150EBA">
        <w:rPr>
          <w:noProof/>
          <w:lang w:eastAsia="en-GB"/>
        </w:rPr>
        <w:drawing>
          <wp:inline distT="0" distB="0" distL="0" distR="0">
            <wp:extent cx="2059305" cy="1176655"/>
            <wp:effectExtent l="0" t="0" r="0" b="4445"/>
            <wp:docPr id="2" name="Picture 2" descr="Glasgow_Caledonian_R#60E7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sgow_Caledonian_R#60E79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9305" cy="1176655"/>
                    </a:xfrm>
                    <a:prstGeom prst="rect">
                      <a:avLst/>
                    </a:prstGeom>
                    <a:noFill/>
                    <a:ln>
                      <a:noFill/>
                    </a:ln>
                  </pic:spPr>
                </pic:pic>
              </a:graphicData>
            </a:graphic>
          </wp:inline>
        </w:drawing>
      </w:r>
    </w:p>
    <w:p w:rsidR="00F25C72" w:rsidRDefault="00F25C72" w:rsidP="00D9064C"/>
    <w:p w:rsidR="00F25C72" w:rsidRDefault="00F25C72" w:rsidP="00D9064C"/>
    <w:p w:rsidR="00F25C72" w:rsidRDefault="00F25C72" w:rsidP="00D9064C"/>
    <w:p w:rsidR="00F25C72" w:rsidRDefault="00F25C72" w:rsidP="00D9064C"/>
    <w:p w:rsidR="00F77BD6" w:rsidRDefault="00F77BD6" w:rsidP="00D9064C">
      <w:pPr>
        <w:jc w:val="center"/>
      </w:pPr>
    </w:p>
    <w:p w:rsidR="00F25C72" w:rsidRDefault="00F25C72" w:rsidP="00D9064C"/>
    <w:p w:rsidR="00F25C72" w:rsidRDefault="00F25C72" w:rsidP="00D9064C"/>
    <w:p w:rsidR="00F25C72" w:rsidRPr="00F354D8" w:rsidRDefault="00F25C72" w:rsidP="00A474AB">
      <w:pPr>
        <w:jc w:val="center"/>
        <w:rPr>
          <w:sz w:val="48"/>
          <w:szCs w:val="48"/>
        </w:rPr>
      </w:pPr>
      <w:r w:rsidRPr="00F354D8">
        <w:rPr>
          <w:b/>
          <w:sz w:val="48"/>
          <w:szCs w:val="48"/>
        </w:rPr>
        <w:t>Anti-Money Laundering Policy</w:t>
      </w:r>
      <w:r w:rsidR="00A474AB" w:rsidRPr="00F354D8">
        <w:rPr>
          <w:b/>
          <w:sz w:val="48"/>
          <w:szCs w:val="48"/>
        </w:rPr>
        <w:t xml:space="preserve"> </w:t>
      </w:r>
    </w:p>
    <w:p w:rsidR="00F25C72" w:rsidRDefault="00F25C72" w:rsidP="00D9064C"/>
    <w:p w:rsidR="00F25C72" w:rsidRDefault="00F25C72" w:rsidP="00D9064C"/>
    <w:p w:rsidR="00F354D8" w:rsidRDefault="00F354D8" w:rsidP="00D9064C"/>
    <w:p w:rsidR="00F354D8" w:rsidRDefault="00F354D8" w:rsidP="00D9064C"/>
    <w:p w:rsidR="00F354D8" w:rsidRDefault="00F354D8" w:rsidP="00D9064C"/>
    <w:p w:rsidR="00F25C72" w:rsidRDefault="00F25C72" w:rsidP="00D9064C"/>
    <w:tbl>
      <w:tblPr>
        <w:tblW w:w="0" w:type="auto"/>
        <w:tblInd w:w="118" w:type="dxa"/>
        <w:tblCellMar>
          <w:left w:w="0" w:type="dxa"/>
          <w:right w:w="0" w:type="dxa"/>
        </w:tblCellMar>
        <w:tblLook w:val="04A0" w:firstRow="1" w:lastRow="0" w:firstColumn="1" w:lastColumn="0" w:noHBand="0" w:noVBand="1"/>
      </w:tblPr>
      <w:tblGrid>
        <w:gridCol w:w="2875"/>
        <w:gridCol w:w="4803"/>
      </w:tblGrid>
      <w:tr w:rsidR="00F354D8" w:rsidRPr="00F354D8" w:rsidTr="00071DF8">
        <w:trPr>
          <w:trHeight w:val="128"/>
        </w:trPr>
        <w:tc>
          <w:tcPr>
            <w:tcW w:w="28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354D8" w:rsidRPr="00F354D8" w:rsidRDefault="00F354D8" w:rsidP="00F354D8">
            <w:pPr>
              <w:spacing w:after="0" w:line="240" w:lineRule="auto"/>
              <w:rPr>
                <w:rFonts w:ascii="Calibri" w:eastAsia="Calibri" w:hAnsi="Calibri" w:cs="Times New Roman"/>
                <w:b/>
                <w:bCs/>
                <w:sz w:val="20"/>
              </w:rPr>
            </w:pPr>
            <w:r w:rsidRPr="00F354D8">
              <w:rPr>
                <w:rFonts w:ascii="Calibri" w:eastAsia="Calibri" w:hAnsi="Calibri" w:cs="Times New Roman"/>
                <w:b/>
                <w:bCs/>
                <w:sz w:val="20"/>
              </w:rPr>
              <w:t>Status</w:t>
            </w:r>
          </w:p>
        </w:tc>
        <w:tc>
          <w:tcPr>
            <w:tcW w:w="480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F354D8" w:rsidRPr="00F354D8" w:rsidRDefault="00F354D8" w:rsidP="00F354D8">
            <w:pPr>
              <w:spacing w:after="0" w:line="240" w:lineRule="auto"/>
              <w:rPr>
                <w:rFonts w:ascii="Calibri" w:eastAsia="Calibri" w:hAnsi="Calibri" w:cs="Times New Roman"/>
                <w:bCs/>
                <w:sz w:val="20"/>
              </w:rPr>
            </w:pPr>
            <w:r>
              <w:rPr>
                <w:rFonts w:ascii="Calibri" w:eastAsia="Calibri" w:hAnsi="Calibri" w:cs="Times New Roman"/>
                <w:bCs/>
                <w:sz w:val="20"/>
              </w:rPr>
              <w:t>Draft</w:t>
            </w:r>
          </w:p>
        </w:tc>
      </w:tr>
      <w:tr w:rsidR="00F354D8" w:rsidRPr="00F354D8" w:rsidTr="00071DF8">
        <w:trPr>
          <w:trHeight w:val="50"/>
        </w:trPr>
        <w:tc>
          <w:tcPr>
            <w:tcW w:w="28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354D8" w:rsidRPr="00F354D8" w:rsidRDefault="00F354D8" w:rsidP="00F354D8">
            <w:pPr>
              <w:spacing w:after="0" w:line="240" w:lineRule="auto"/>
              <w:rPr>
                <w:rFonts w:ascii="Calibri" w:eastAsia="Calibri" w:hAnsi="Calibri" w:cs="Times New Roman"/>
                <w:b/>
                <w:bCs/>
                <w:sz w:val="20"/>
              </w:rPr>
            </w:pPr>
            <w:r w:rsidRPr="00F354D8">
              <w:rPr>
                <w:rFonts w:ascii="Calibri" w:eastAsia="Calibri" w:hAnsi="Calibri" w:cs="Times New Roman"/>
                <w:b/>
                <w:bCs/>
                <w:sz w:val="20"/>
              </w:rPr>
              <w:t>Owner</w:t>
            </w:r>
          </w:p>
        </w:tc>
        <w:tc>
          <w:tcPr>
            <w:tcW w:w="4803" w:type="dxa"/>
            <w:tcBorders>
              <w:top w:val="nil"/>
              <w:left w:val="nil"/>
              <w:bottom w:val="single" w:sz="8" w:space="0" w:color="000000"/>
              <w:right w:val="single" w:sz="8" w:space="0" w:color="000000"/>
            </w:tcBorders>
            <w:tcMar>
              <w:top w:w="0" w:type="dxa"/>
              <w:left w:w="108" w:type="dxa"/>
              <w:bottom w:w="0" w:type="dxa"/>
              <w:right w:w="108" w:type="dxa"/>
            </w:tcMar>
          </w:tcPr>
          <w:p w:rsidR="00F354D8" w:rsidRPr="00F354D8" w:rsidRDefault="00F354D8" w:rsidP="00F354D8">
            <w:pPr>
              <w:spacing w:after="0" w:line="240" w:lineRule="auto"/>
              <w:rPr>
                <w:rFonts w:ascii="Calibri" w:eastAsia="Calibri" w:hAnsi="Calibri" w:cs="Times New Roman"/>
                <w:bCs/>
                <w:sz w:val="20"/>
              </w:rPr>
            </w:pPr>
            <w:r w:rsidRPr="00F354D8">
              <w:rPr>
                <w:rFonts w:ascii="Calibri" w:eastAsia="Calibri" w:hAnsi="Calibri" w:cs="Times New Roman"/>
                <w:bCs/>
                <w:sz w:val="20"/>
              </w:rPr>
              <w:t>Finance</w:t>
            </w:r>
          </w:p>
        </w:tc>
      </w:tr>
      <w:tr w:rsidR="00F354D8" w:rsidRPr="00F354D8" w:rsidTr="00071DF8">
        <w:trPr>
          <w:trHeight w:val="50"/>
        </w:trPr>
        <w:tc>
          <w:tcPr>
            <w:tcW w:w="28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354D8" w:rsidRPr="00F354D8" w:rsidRDefault="00F354D8" w:rsidP="00F354D8">
            <w:pPr>
              <w:spacing w:after="0" w:line="240" w:lineRule="auto"/>
              <w:rPr>
                <w:rFonts w:ascii="Calibri" w:eastAsia="Calibri" w:hAnsi="Calibri" w:cs="Times New Roman"/>
                <w:b/>
                <w:bCs/>
                <w:sz w:val="20"/>
              </w:rPr>
            </w:pPr>
            <w:r w:rsidRPr="00F354D8">
              <w:rPr>
                <w:rFonts w:ascii="Calibri" w:eastAsia="Calibri" w:hAnsi="Calibri" w:cs="Times New Roman"/>
                <w:b/>
                <w:bCs/>
                <w:sz w:val="20"/>
              </w:rPr>
              <w:t>Source location</w:t>
            </w:r>
          </w:p>
        </w:tc>
        <w:tc>
          <w:tcPr>
            <w:tcW w:w="4803" w:type="dxa"/>
            <w:tcBorders>
              <w:top w:val="nil"/>
              <w:left w:val="nil"/>
              <w:bottom w:val="single" w:sz="8" w:space="0" w:color="000000"/>
              <w:right w:val="single" w:sz="8" w:space="0" w:color="000000"/>
            </w:tcBorders>
            <w:tcMar>
              <w:top w:w="0" w:type="dxa"/>
              <w:left w:w="108" w:type="dxa"/>
              <w:bottom w:w="0" w:type="dxa"/>
              <w:right w:w="108" w:type="dxa"/>
            </w:tcMar>
          </w:tcPr>
          <w:p w:rsidR="00F354D8" w:rsidRPr="00F354D8" w:rsidRDefault="00F354D8" w:rsidP="00F354D8">
            <w:pPr>
              <w:spacing w:after="0" w:line="240" w:lineRule="auto"/>
              <w:rPr>
                <w:rFonts w:ascii="Calibri" w:eastAsia="Calibri" w:hAnsi="Calibri" w:cs="Times New Roman"/>
                <w:bCs/>
                <w:sz w:val="20"/>
              </w:rPr>
            </w:pPr>
            <w:r w:rsidRPr="00F354D8">
              <w:rPr>
                <w:rFonts w:ascii="Calibri" w:eastAsia="Calibri" w:hAnsi="Calibri" w:cs="Times New Roman"/>
                <w:bCs/>
                <w:sz w:val="20"/>
              </w:rPr>
              <w:t>GCU Finance sharepoint</w:t>
            </w:r>
            <w:r>
              <w:rPr>
                <w:rFonts w:ascii="Calibri" w:eastAsia="Calibri" w:hAnsi="Calibri" w:cs="Times New Roman"/>
                <w:bCs/>
                <w:sz w:val="20"/>
              </w:rPr>
              <w:t xml:space="preserve"> &amp; University Website</w:t>
            </w:r>
          </w:p>
        </w:tc>
      </w:tr>
      <w:tr w:rsidR="00F354D8" w:rsidRPr="00F354D8" w:rsidTr="00071DF8">
        <w:trPr>
          <w:trHeight w:val="50"/>
        </w:trPr>
        <w:tc>
          <w:tcPr>
            <w:tcW w:w="28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354D8" w:rsidRPr="00F354D8" w:rsidRDefault="00F354D8" w:rsidP="00F354D8">
            <w:pPr>
              <w:spacing w:after="0" w:line="240" w:lineRule="auto"/>
              <w:rPr>
                <w:rFonts w:ascii="Calibri" w:eastAsia="Calibri" w:hAnsi="Calibri" w:cs="Times New Roman"/>
                <w:b/>
                <w:bCs/>
                <w:sz w:val="20"/>
              </w:rPr>
            </w:pPr>
            <w:r w:rsidRPr="00F354D8">
              <w:rPr>
                <w:rFonts w:ascii="Calibri" w:eastAsia="Calibri" w:hAnsi="Calibri" w:cs="Times New Roman"/>
                <w:b/>
                <w:bCs/>
                <w:sz w:val="20"/>
              </w:rPr>
              <w:t>Reviewed</w:t>
            </w:r>
          </w:p>
        </w:tc>
        <w:tc>
          <w:tcPr>
            <w:tcW w:w="4803" w:type="dxa"/>
            <w:tcBorders>
              <w:top w:val="nil"/>
              <w:left w:val="nil"/>
              <w:bottom w:val="single" w:sz="8" w:space="0" w:color="000000"/>
              <w:right w:val="single" w:sz="8" w:space="0" w:color="000000"/>
            </w:tcBorders>
            <w:tcMar>
              <w:top w:w="0" w:type="dxa"/>
              <w:left w:w="108" w:type="dxa"/>
              <w:bottom w:w="0" w:type="dxa"/>
              <w:right w:w="108" w:type="dxa"/>
            </w:tcMar>
          </w:tcPr>
          <w:p w:rsidR="00F354D8" w:rsidRPr="00F354D8" w:rsidRDefault="00F354D8" w:rsidP="00F354D8">
            <w:pPr>
              <w:spacing w:after="0" w:line="240" w:lineRule="auto"/>
              <w:rPr>
                <w:rFonts w:ascii="Calibri" w:eastAsia="Calibri" w:hAnsi="Calibri" w:cs="Times New Roman"/>
                <w:bCs/>
                <w:sz w:val="20"/>
              </w:rPr>
            </w:pPr>
            <w:r>
              <w:rPr>
                <w:rFonts w:ascii="Calibri" w:eastAsia="Calibri" w:hAnsi="Calibri" w:cs="Times New Roman"/>
                <w:bCs/>
                <w:sz w:val="20"/>
              </w:rPr>
              <w:t>February 2020</w:t>
            </w:r>
          </w:p>
        </w:tc>
      </w:tr>
      <w:tr w:rsidR="00F354D8" w:rsidRPr="00F354D8" w:rsidTr="00071DF8">
        <w:trPr>
          <w:trHeight w:val="50"/>
        </w:trPr>
        <w:tc>
          <w:tcPr>
            <w:tcW w:w="28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354D8" w:rsidRPr="00F354D8" w:rsidRDefault="00F354D8" w:rsidP="00F354D8">
            <w:pPr>
              <w:spacing w:after="0" w:line="240" w:lineRule="auto"/>
              <w:rPr>
                <w:rFonts w:ascii="Calibri" w:eastAsia="Calibri" w:hAnsi="Calibri" w:cs="Times New Roman"/>
                <w:b/>
                <w:bCs/>
                <w:sz w:val="20"/>
              </w:rPr>
            </w:pPr>
            <w:r w:rsidRPr="00F354D8">
              <w:rPr>
                <w:rFonts w:ascii="Calibri" w:eastAsia="Calibri" w:hAnsi="Calibri" w:cs="Times New Roman"/>
                <w:b/>
                <w:bCs/>
                <w:sz w:val="20"/>
              </w:rPr>
              <w:t>Next Review Date</w:t>
            </w:r>
          </w:p>
        </w:tc>
        <w:tc>
          <w:tcPr>
            <w:tcW w:w="4803" w:type="dxa"/>
            <w:tcBorders>
              <w:top w:val="nil"/>
              <w:left w:val="nil"/>
              <w:bottom w:val="single" w:sz="8" w:space="0" w:color="000000"/>
              <w:right w:val="single" w:sz="8" w:space="0" w:color="000000"/>
            </w:tcBorders>
            <w:tcMar>
              <w:top w:w="0" w:type="dxa"/>
              <w:left w:w="108" w:type="dxa"/>
              <w:bottom w:w="0" w:type="dxa"/>
              <w:right w:w="108" w:type="dxa"/>
            </w:tcMar>
          </w:tcPr>
          <w:p w:rsidR="00F354D8" w:rsidRPr="00F354D8" w:rsidRDefault="00F354D8" w:rsidP="00F354D8">
            <w:pPr>
              <w:spacing w:after="0" w:line="240" w:lineRule="auto"/>
              <w:rPr>
                <w:rFonts w:ascii="Calibri" w:eastAsia="Calibri" w:hAnsi="Calibri" w:cs="Times New Roman"/>
                <w:bCs/>
                <w:sz w:val="20"/>
              </w:rPr>
            </w:pPr>
            <w:r>
              <w:rPr>
                <w:rFonts w:ascii="Calibri" w:eastAsia="Calibri" w:hAnsi="Calibri" w:cs="Times New Roman"/>
                <w:bCs/>
                <w:sz w:val="20"/>
              </w:rPr>
              <w:t>February 2021</w:t>
            </w:r>
          </w:p>
        </w:tc>
      </w:tr>
      <w:tr w:rsidR="00F354D8" w:rsidRPr="00F354D8" w:rsidTr="00071DF8">
        <w:trPr>
          <w:trHeight w:val="50"/>
        </w:trPr>
        <w:tc>
          <w:tcPr>
            <w:tcW w:w="287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354D8" w:rsidRPr="00F354D8" w:rsidRDefault="00F354D8" w:rsidP="00F354D8">
            <w:pPr>
              <w:spacing w:after="0" w:line="240" w:lineRule="auto"/>
              <w:rPr>
                <w:rFonts w:ascii="Calibri" w:eastAsia="Calibri" w:hAnsi="Calibri" w:cs="Times New Roman"/>
                <w:b/>
                <w:bCs/>
                <w:sz w:val="20"/>
              </w:rPr>
            </w:pPr>
            <w:r w:rsidRPr="00F354D8">
              <w:rPr>
                <w:rFonts w:ascii="Calibri" w:eastAsia="Calibri" w:hAnsi="Calibri" w:cs="Times New Roman"/>
                <w:b/>
                <w:bCs/>
                <w:sz w:val="20"/>
              </w:rPr>
              <w:t>Version</w:t>
            </w:r>
          </w:p>
        </w:tc>
        <w:tc>
          <w:tcPr>
            <w:tcW w:w="4803" w:type="dxa"/>
            <w:tcBorders>
              <w:top w:val="nil"/>
              <w:left w:val="nil"/>
              <w:bottom w:val="single" w:sz="8" w:space="0" w:color="000000"/>
              <w:right w:val="single" w:sz="8" w:space="0" w:color="000000"/>
            </w:tcBorders>
            <w:tcMar>
              <w:top w:w="0" w:type="dxa"/>
              <w:left w:w="108" w:type="dxa"/>
              <w:bottom w:w="0" w:type="dxa"/>
              <w:right w:w="108" w:type="dxa"/>
            </w:tcMar>
          </w:tcPr>
          <w:p w:rsidR="00F354D8" w:rsidRPr="00F354D8" w:rsidRDefault="00F354D8" w:rsidP="004D247C">
            <w:pPr>
              <w:spacing w:after="0" w:line="240" w:lineRule="auto"/>
              <w:rPr>
                <w:rFonts w:ascii="Calibri" w:eastAsia="Calibri" w:hAnsi="Calibri" w:cs="Times New Roman"/>
                <w:bCs/>
                <w:sz w:val="20"/>
              </w:rPr>
            </w:pPr>
            <w:r w:rsidRPr="00F354D8">
              <w:rPr>
                <w:rFonts w:ascii="Calibri" w:eastAsia="Calibri" w:hAnsi="Calibri" w:cs="Times New Roman"/>
                <w:bCs/>
                <w:sz w:val="20"/>
              </w:rPr>
              <w:t>V0</w:t>
            </w:r>
            <w:r w:rsidR="004D247C">
              <w:rPr>
                <w:rFonts w:ascii="Calibri" w:eastAsia="Calibri" w:hAnsi="Calibri" w:cs="Times New Roman"/>
                <w:bCs/>
                <w:sz w:val="20"/>
              </w:rPr>
              <w:t>2</w:t>
            </w:r>
            <w:r w:rsidRPr="00F354D8">
              <w:rPr>
                <w:rFonts w:ascii="Calibri" w:eastAsia="Calibri" w:hAnsi="Calibri" w:cs="Times New Roman"/>
                <w:bCs/>
                <w:sz w:val="20"/>
              </w:rPr>
              <w:t xml:space="preserve"> 0</w:t>
            </w:r>
            <w:r>
              <w:rPr>
                <w:rFonts w:ascii="Calibri" w:eastAsia="Calibri" w:hAnsi="Calibri" w:cs="Times New Roman"/>
                <w:bCs/>
                <w:sz w:val="20"/>
              </w:rPr>
              <w:t>2/2020</w:t>
            </w:r>
          </w:p>
        </w:tc>
      </w:tr>
    </w:tbl>
    <w:p w:rsidR="00671512" w:rsidRDefault="00671512" w:rsidP="00D9064C">
      <w:pPr>
        <w:sectPr w:rsidR="00671512" w:rsidSect="00671512">
          <w:footerReference w:type="default" r:id="rId9"/>
          <w:type w:val="continuous"/>
          <w:pgSz w:w="11906" w:h="16838"/>
          <w:pgMar w:top="1440" w:right="1440" w:bottom="1440" w:left="1440" w:header="708" w:footer="708" w:gutter="0"/>
          <w:pgNumType w:start="1"/>
          <w:cols w:space="708"/>
          <w:docGrid w:linePitch="360"/>
        </w:sectPr>
      </w:pPr>
    </w:p>
    <w:p w:rsidR="00F25C72" w:rsidRDefault="00F25C72" w:rsidP="00D9064C"/>
    <w:p w:rsidR="00F25C72" w:rsidRDefault="00F25C72" w:rsidP="00D9064C">
      <w:r>
        <w:br w:type="page"/>
      </w:r>
    </w:p>
    <w:p w:rsidR="00F25C72" w:rsidRPr="00F354D8" w:rsidRDefault="00F25C72" w:rsidP="00F354D8">
      <w:pPr>
        <w:spacing w:after="0" w:line="240" w:lineRule="auto"/>
        <w:jc w:val="center"/>
        <w:rPr>
          <w:rFonts w:ascii="Calibri" w:eastAsia="Calibri" w:hAnsi="Calibri" w:cs="Times New Roman"/>
          <w:b/>
          <w:sz w:val="28"/>
          <w:szCs w:val="28"/>
        </w:rPr>
      </w:pPr>
      <w:r w:rsidRPr="00F354D8">
        <w:rPr>
          <w:rFonts w:ascii="Calibri" w:eastAsia="Calibri" w:hAnsi="Calibri" w:cs="Times New Roman"/>
          <w:b/>
          <w:sz w:val="28"/>
          <w:szCs w:val="28"/>
        </w:rPr>
        <w:lastRenderedPageBreak/>
        <w:t>Contents</w:t>
      </w:r>
    </w:p>
    <w:p w:rsidR="00671512" w:rsidRPr="00F354D8" w:rsidRDefault="00671512" w:rsidP="00F354D8">
      <w:pPr>
        <w:spacing w:after="0" w:line="240" w:lineRule="auto"/>
        <w:rPr>
          <w:rFonts w:ascii="Calibri" w:eastAsia="Calibri" w:hAnsi="Calibri" w:cs="Times New Roman"/>
          <w:b/>
        </w:rPr>
      </w:pPr>
    </w:p>
    <w:p w:rsidR="00F354D8" w:rsidRDefault="00671512" w:rsidP="00F354D8">
      <w:pPr>
        <w:spacing w:after="0" w:line="240" w:lineRule="auto"/>
        <w:rPr>
          <w:rFonts w:ascii="Calibri" w:eastAsia="Calibri" w:hAnsi="Calibri" w:cs="Times New Roman"/>
          <w:b/>
        </w:rPr>
      </w:pPr>
      <w:r w:rsidRPr="00F354D8">
        <w:rPr>
          <w:rFonts w:ascii="Calibri" w:eastAsia="Calibri" w:hAnsi="Calibri" w:cs="Times New Roman"/>
          <w:b/>
        </w:rPr>
        <w:fldChar w:fldCharType="begin"/>
      </w:r>
      <w:r w:rsidRPr="00F354D8">
        <w:rPr>
          <w:rFonts w:ascii="Calibri" w:eastAsia="Calibri" w:hAnsi="Calibri" w:cs="Times New Roman"/>
          <w:b/>
        </w:rPr>
        <w:instrText xml:space="preserve"> TOC \o "2-3" \t "HeadingOne,1" </w:instrText>
      </w:r>
      <w:r w:rsidRPr="00F354D8">
        <w:rPr>
          <w:rFonts w:ascii="Calibri" w:eastAsia="Calibri" w:hAnsi="Calibri" w:cs="Times New Roman"/>
          <w:b/>
        </w:rPr>
        <w:fldChar w:fldCharType="separate"/>
      </w:r>
      <w:r w:rsidR="00232EDD" w:rsidRPr="00F354D8">
        <w:rPr>
          <w:rFonts w:ascii="Calibri" w:eastAsia="Calibri" w:hAnsi="Calibri" w:cs="Times New Roman"/>
          <w:b/>
        </w:rPr>
        <w:t>1.</w:t>
      </w:r>
      <w:r w:rsidR="00232EDD" w:rsidRPr="00F354D8">
        <w:rPr>
          <w:rFonts w:ascii="Calibri" w:eastAsia="Calibri" w:hAnsi="Calibri" w:cs="Times New Roman"/>
          <w:b/>
        </w:rPr>
        <w:tab/>
        <w:t>Introduction</w:t>
      </w:r>
    </w:p>
    <w:p w:rsidR="00232EDD" w:rsidRPr="00F354D8" w:rsidRDefault="00232EDD" w:rsidP="00F354D8">
      <w:pPr>
        <w:spacing w:after="0" w:line="240" w:lineRule="auto"/>
        <w:rPr>
          <w:rFonts w:ascii="Calibri" w:eastAsia="Calibri" w:hAnsi="Calibri" w:cs="Times New Roman"/>
          <w:b/>
        </w:rPr>
      </w:pPr>
      <w:r w:rsidRPr="00F354D8">
        <w:rPr>
          <w:rFonts w:ascii="Calibri" w:eastAsia="Calibri" w:hAnsi="Calibri" w:cs="Times New Roman"/>
          <w:b/>
        </w:rPr>
        <w:tab/>
      </w:r>
    </w:p>
    <w:p w:rsidR="00F354D8" w:rsidRDefault="00232EDD" w:rsidP="00F354D8">
      <w:pPr>
        <w:spacing w:after="0" w:line="240" w:lineRule="auto"/>
        <w:rPr>
          <w:rFonts w:ascii="Calibri" w:eastAsia="Calibri" w:hAnsi="Calibri" w:cs="Times New Roman"/>
          <w:b/>
        </w:rPr>
      </w:pPr>
      <w:r w:rsidRPr="00F354D8">
        <w:rPr>
          <w:rFonts w:ascii="Calibri" w:eastAsia="Calibri" w:hAnsi="Calibri" w:cs="Times New Roman"/>
          <w:b/>
        </w:rPr>
        <w:t>2.</w:t>
      </w:r>
      <w:r w:rsidRPr="00F354D8">
        <w:rPr>
          <w:rFonts w:ascii="Calibri" w:eastAsia="Calibri" w:hAnsi="Calibri" w:cs="Times New Roman"/>
          <w:b/>
        </w:rPr>
        <w:tab/>
        <w:t>What is money laundering?</w:t>
      </w:r>
    </w:p>
    <w:p w:rsidR="00232EDD" w:rsidRPr="00F354D8" w:rsidRDefault="00232EDD" w:rsidP="00F354D8">
      <w:pPr>
        <w:spacing w:after="0" w:line="240" w:lineRule="auto"/>
        <w:rPr>
          <w:rFonts w:ascii="Calibri" w:eastAsia="Calibri" w:hAnsi="Calibri" w:cs="Times New Roman"/>
          <w:b/>
        </w:rPr>
      </w:pPr>
      <w:r w:rsidRPr="00F354D8">
        <w:rPr>
          <w:rFonts w:ascii="Calibri" w:eastAsia="Calibri" w:hAnsi="Calibri" w:cs="Times New Roman"/>
          <w:b/>
        </w:rPr>
        <w:tab/>
      </w:r>
    </w:p>
    <w:p w:rsidR="00F354D8" w:rsidRDefault="00232EDD" w:rsidP="00F354D8">
      <w:pPr>
        <w:spacing w:after="0" w:line="240" w:lineRule="auto"/>
        <w:rPr>
          <w:rFonts w:ascii="Calibri" w:eastAsia="Calibri" w:hAnsi="Calibri" w:cs="Times New Roman"/>
          <w:b/>
        </w:rPr>
      </w:pPr>
      <w:r w:rsidRPr="00F354D8">
        <w:rPr>
          <w:rFonts w:ascii="Calibri" w:eastAsia="Calibri" w:hAnsi="Calibri" w:cs="Times New Roman"/>
          <w:b/>
        </w:rPr>
        <w:t>3.</w:t>
      </w:r>
      <w:r w:rsidRPr="00F354D8">
        <w:rPr>
          <w:rFonts w:ascii="Calibri" w:eastAsia="Calibri" w:hAnsi="Calibri" w:cs="Times New Roman"/>
          <w:b/>
        </w:rPr>
        <w:tab/>
      </w:r>
      <w:r w:rsidR="004A23C5" w:rsidRPr="00F354D8">
        <w:rPr>
          <w:rFonts w:ascii="Calibri" w:eastAsia="Calibri" w:hAnsi="Calibri" w:cs="Times New Roman"/>
          <w:b/>
        </w:rPr>
        <w:t>Un</w:t>
      </w:r>
      <w:r w:rsidRPr="00F354D8">
        <w:rPr>
          <w:rFonts w:ascii="Calibri" w:eastAsia="Calibri" w:hAnsi="Calibri" w:cs="Times New Roman"/>
          <w:b/>
        </w:rPr>
        <w:t>iversity responsibilities</w:t>
      </w:r>
    </w:p>
    <w:p w:rsidR="00F354D8" w:rsidRDefault="00232EDD" w:rsidP="00F354D8">
      <w:pPr>
        <w:spacing w:after="0" w:line="240" w:lineRule="auto"/>
        <w:rPr>
          <w:rFonts w:ascii="Calibri" w:eastAsia="Calibri" w:hAnsi="Calibri" w:cs="Times New Roman"/>
          <w:b/>
        </w:rPr>
      </w:pPr>
      <w:r w:rsidRPr="00F354D8">
        <w:rPr>
          <w:rFonts w:ascii="Calibri" w:eastAsia="Calibri" w:hAnsi="Calibri" w:cs="Times New Roman"/>
          <w:b/>
        </w:rPr>
        <w:tab/>
      </w:r>
    </w:p>
    <w:p w:rsidR="00232EDD" w:rsidRDefault="004A23C5" w:rsidP="00F354D8">
      <w:pPr>
        <w:spacing w:after="0" w:line="240" w:lineRule="auto"/>
        <w:rPr>
          <w:rFonts w:ascii="Calibri" w:eastAsia="Calibri" w:hAnsi="Calibri" w:cs="Times New Roman"/>
          <w:b/>
        </w:rPr>
      </w:pPr>
      <w:r w:rsidRPr="00F354D8">
        <w:rPr>
          <w:rFonts w:ascii="Calibri" w:eastAsia="Calibri" w:hAnsi="Calibri" w:cs="Times New Roman"/>
          <w:b/>
        </w:rPr>
        <w:t>4</w:t>
      </w:r>
      <w:r w:rsidR="00232EDD" w:rsidRPr="00F354D8">
        <w:rPr>
          <w:rFonts w:ascii="Calibri" w:eastAsia="Calibri" w:hAnsi="Calibri" w:cs="Times New Roman"/>
          <w:b/>
        </w:rPr>
        <w:t>.</w:t>
      </w:r>
      <w:r w:rsidR="00232EDD" w:rsidRPr="00F354D8">
        <w:rPr>
          <w:rFonts w:ascii="Calibri" w:eastAsia="Calibri" w:hAnsi="Calibri" w:cs="Times New Roman"/>
          <w:b/>
        </w:rPr>
        <w:tab/>
        <w:t>Employee responsibilities</w:t>
      </w:r>
      <w:r w:rsidR="00232EDD" w:rsidRPr="00F354D8">
        <w:rPr>
          <w:rFonts w:ascii="Calibri" w:eastAsia="Calibri" w:hAnsi="Calibri" w:cs="Times New Roman"/>
          <w:b/>
        </w:rPr>
        <w:tab/>
      </w:r>
    </w:p>
    <w:p w:rsidR="00F354D8" w:rsidRPr="00F354D8" w:rsidRDefault="00F354D8" w:rsidP="00F354D8">
      <w:pPr>
        <w:spacing w:after="0" w:line="240" w:lineRule="auto"/>
        <w:rPr>
          <w:rFonts w:ascii="Calibri" w:eastAsia="Calibri" w:hAnsi="Calibri" w:cs="Times New Roman"/>
          <w:b/>
        </w:rPr>
      </w:pPr>
    </w:p>
    <w:p w:rsidR="00F354D8" w:rsidRDefault="004A23C5" w:rsidP="00F354D8">
      <w:pPr>
        <w:spacing w:after="0" w:line="240" w:lineRule="auto"/>
        <w:rPr>
          <w:rFonts w:ascii="Calibri" w:eastAsia="Calibri" w:hAnsi="Calibri" w:cs="Times New Roman"/>
          <w:b/>
        </w:rPr>
      </w:pPr>
      <w:r w:rsidRPr="00F354D8">
        <w:rPr>
          <w:rFonts w:ascii="Calibri" w:eastAsia="Calibri" w:hAnsi="Calibri" w:cs="Times New Roman"/>
          <w:b/>
        </w:rPr>
        <w:t>5</w:t>
      </w:r>
      <w:r w:rsidR="00232EDD" w:rsidRPr="00F354D8">
        <w:rPr>
          <w:rFonts w:ascii="Calibri" w:eastAsia="Calibri" w:hAnsi="Calibri" w:cs="Times New Roman"/>
          <w:b/>
        </w:rPr>
        <w:t>.</w:t>
      </w:r>
      <w:r w:rsidR="00232EDD" w:rsidRPr="00F354D8">
        <w:rPr>
          <w:rFonts w:ascii="Calibri" w:eastAsia="Calibri" w:hAnsi="Calibri" w:cs="Times New Roman"/>
          <w:b/>
        </w:rPr>
        <w:tab/>
      </w:r>
      <w:r w:rsidR="00A7703F" w:rsidRPr="00F354D8">
        <w:rPr>
          <w:rFonts w:ascii="Calibri" w:eastAsia="Calibri" w:hAnsi="Calibri" w:cs="Times New Roman"/>
          <w:b/>
        </w:rPr>
        <w:t>Know your customer</w:t>
      </w:r>
      <w:r w:rsidR="00A7703F" w:rsidRPr="00F354D8">
        <w:rPr>
          <w:rFonts w:ascii="Calibri" w:eastAsia="Calibri" w:hAnsi="Calibri" w:cs="Times New Roman"/>
          <w:b/>
        </w:rPr>
        <w:tab/>
      </w:r>
    </w:p>
    <w:p w:rsidR="00F354D8" w:rsidRDefault="00F354D8" w:rsidP="00F354D8">
      <w:pPr>
        <w:spacing w:after="0" w:line="240" w:lineRule="auto"/>
        <w:rPr>
          <w:rFonts w:ascii="Calibri" w:eastAsia="Calibri" w:hAnsi="Calibri" w:cs="Times New Roman"/>
          <w:b/>
        </w:rPr>
      </w:pPr>
    </w:p>
    <w:p w:rsidR="00A7703F" w:rsidRDefault="00F354D8" w:rsidP="00F354D8">
      <w:pPr>
        <w:spacing w:after="0" w:line="240" w:lineRule="auto"/>
        <w:rPr>
          <w:rFonts w:ascii="Calibri" w:eastAsia="Calibri" w:hAnsi="Calibri" w:cs="Times New Roman"/>
          <w:b/>
        </w:rPr>
      </w:pPr>
      <w:r>
        <w:rPr>
          <w:rFonts w:ascii="Calibri" w:eastAsia="Calibri" w:hAnsi="Calibri" w:cs="Times New Roman"/>
          <w:b/>
        </w:rPr>
        <w:t>6.</w:t>
      </w:r>
      <w:r>
        <w:rPr>
          <w:rFonts w:ascii="Calibri" w:eastAsia="Calibri" w:hAnsi="Calibri" w:cs="Times New Roman"/>
          <w:b/>
        </w:rPr>
        <w:tab/>
        <w:t>Record keeping requirements</w:t>
      </w:r>
      <w:r>
        <w:rPr>
          <w:rFonts w:ascii="Calibri" w:eastAsia="Calibri" w:hAnsi="Calibri" w:cs="Times New Roman"/>
          <w:b/>
        </w:rPr>
        <w:tab/>
      </w:r>
    </w:p>
    <w:p w:rsidR="00F354D8" w:rsidRPr="00F354D8" w:rsidRDefault="00F354D8" w:rsidP="00F354D8">
      <w:pPr>
        <w:spacing w:after="0" w:line="240" w:lineRule="auto"/>
        <w:rPr>
          <w:rFonts w:ascii="Calibri" w:eastAsia="Calibri" w:hAnsi="Calibri" w:cs="Times New Roman"/>
          <w:b/>
        </w:rPr>
      </w:pPr>
    </w:p>
    <w:p w:rsidR="004A23C5" w:rsidRDefault="00A7703F" w:rsidP="00F354D8">
      <w:pPr>
        <w:spacing w:after="0" w:line="240" w:lineRule="auto"/>
        <w:rPr>
          <w:rFonts w:ascii="Calibri" w:eastAsia="Calibri" w:hAnsi="Calibri" w:cs="Times New Roman"/>
          <w:b/>
        </w:rPr>
      </w:pPr>
      <w:r w:rsidRPr="00F354D8">
        <w:rPr>
          <w:rFonts w:ascii="Calibri" w:eastAsia="Calibri" w:hAnsi="Calibri" w:cs="Times New Roman"/>
          <w:b/>
        </w:rPr>
        <w:t xml:space="preserve">7. </w:t>
      </w:r>
      <w:r w:rsidRPr="00F354D8">
        <w:rPr>
          <w:rFonts w:ascii="Calibri" w:eastAsia="Calibri" w:hAnsi="Calibri" w:cs="Times New Roman"/>
          <w:b/>
        </w:rPr>
        <w:tab/>
      </w:r>
      <w:r w:rsidR="004A23C5" w:rsidRPr="00F354D8">
        <w:rPr>
          <w:rFonts w:ascii="Calibri" w:eastAsia="Calibri" w:hAnsi="Calibri" w:cs="Times New Roman"/>
          <w:b/>
        </w:rPr>
        <w:t>Identifying money laundering: activities to be considered in relation to the University</w:t>
      </w:r>
      <w:r w:rsidR="004A23C5" w:rsidRPr="00F354D8">
        <w:rPr>
          <w:rFonts w:ascii="Calibri" w:eastAsia="Calibri" w:hAnsi="Calibri" w:cs="Times New Roman"/>
          <w:b/>
        </w:rPr>
        <w:tab/>
      </w:r>
    </w:p>
    <w:p w:rsidR="00F354D8" w:rsidRPr="00F354D8" w:rsidRDefault="00F354D8" w:rsidP="00F354D8">
      <w:pPr>
        <w:spacing w:after="0" w:line="240" w:lineRule="auto"/>
        <w:rPr>
          <w:rFonts w:ascii="Calibri" w:eastAsia="Calibri" w:hAnsi="Calibri" w:cs="Times New Roman"/>
          <w:b/>
        </w:rPr>
      </w:pPr>
    </w:p>
    <w:p w:rsidR="00F354D8" w:rsidRDefault="009C2EDD" w:rsidP="00F354D8">
      <w:pPr>
        <w:spacing w:after="0" w:line="240" w:lineRule="auto"/>
        <w:rPr>
          <w:rFonts w:ascii="Calibri" w:eastAsia="Calibri" w:hAnsi="Calibri" w:cs="Times New Roman"/>
          <w:b/>
        </w:rPr>
      </w:pPr>
      <w:r w:rsidRPr="00F354D8">
        <w:rPr>
          <w:rFonts w:ascii="Calibri" w:eastAsia="Calibri" w:hAnsi="Calibri" w:cs="Times New Roman"/>
          <w:b/>
        </w:rPr>
        <w:t xml:space="preserve">8. </w:t>
      </w:r>
      <w:r w:rsidRPr="00F354D8">
        <w:rPr>
          <w:rFonts w:ascii="Calibri" w:eastAsia="Calibri" w:hAnsi="Calibri" w:cs="Times New Roman"/>
          <w:b/>
        </w:rPr>
        <w:tab/>
      </w:r>
      <w:r w:rsidR="008310DC" w:rsidRPr="00F354D8">
        <w:rPr>
          <w:rFonts w:ascii="Calibri" w:eastAsia="Calibri" w:hAnsi="Calibri" w:cs="Times New Roman"/>
          <w:b/>
        </w:rPr>
        <w:t>Controls to mitigate the risk of money laundering</w:t>
      </w:r>
    </w:p>
    <w:p w:rsidR="00232EDD" w:rsidRPr="00F354D8" w:rsidRDefault="00232EDD" w:rsidP="00F354D8">
      <w:pPr>
        <w:spacing w:after="0" w:line="240" w:lineRule="auto"/>
        <w:rPr>
          <w:rFonts w:ascii="Calibri" w:eastAsia="Calibri" w:hAnsi="Calibri" w:cs="Times New Roman"/>
          <w:b/>
        </w:rPr>
      </w:pPr>
      <w:r w:rsidRPr="00F354D8">
        <w:rPr>
          <w:rFonts w:ascii="Calibri" w:eastAsia="Calibri" w:hAnsi="Calibri" w:cs="Times New Roman"/>
          <w:b/>
        </w:rPr>
        <w:tab/>
      </w:r>
    </w:p>
    <w:p w:rsidR="00F354D8" w:rsidRDefault="009C2EDD" w:rsidP="00F354D8">
      <w:pPr>
        <w:spacing w:after="0" w:line="240" w:lineRule="auto"/>
        <w:rPr>
          <w:rFonts w:ascii="Calibri" w:eastAsia="Calibri" w:hAnsi="Calibri" w:cs="Times New Roman"/>
          <w:b/>
        </w:rPr>
      </w:pPr>
      <w:r w:rsidRPr="00F354D8">
        <w:rPr>
          <w:rFonts w:ascii="Calibri" w:eastAsia="Calibri" w:hAnsi="Calibri" w:cs="Times New Roman"/>
          <w:b/>
        </w:rPr>
        <w:t>9</w:t>
      </w:r>
      <w:r w:rsidR="00232EDD" w:rsidRPr="00F354D8">
        <w:rPr>
          <w:rFonts w:ascii="Calibri" w:eastAsia="Calibri" w:hAnsi="Calibri" w:cs="Times New Roman"/>
          <w:b/>
        </w:rPr>
        <w:t>.</w:t>
      </w:r>
      <w:r w:rsidR="00232EDD" w:rsidRPr="00F354D8">
        <w:rPr>
          <w:rFonts w:ascii="Calibri" w:eastAsia="Calibri" w:hAnsi="Calibri" w:cs="Times New Roman"/>
          <w:b/>
        </w:rPr>
        <w:tab/>
      </w:r>
      <w:r w:rsidR="00D65EC1" w:rsidRPr="00F354D8">
        <w:rPr>
          <w:rFonts w:ascii="Calibri" w:eastAsia="Calibri" w:hAnsi="Calibri" w:cs="Times New Roman"/>
          <w:b/>
        </w:rPr>
        <w:t>Disclosure procedure - how to report a concern</w:t>
      </w:r>
    </w:p>
    <w:p w:rsidR="00F354D8" w:rsidRDefault="00F354D8" w:rsidP="00F354D8">
      <w:pPr>
        <w:spacing w:after="0" w:line="240" w:lineRule="auto"/>
        <w:rPr>
          <w:rFonts w:ascii="Calibri" w:eastAsia="Calibri" w:hAnsi="Calibri" w:cs="Times New Roman"/>
          <w:b/>
        </w:rPr>
      </w:pPr>
    </w:p>
    <w:p w:rsidR="00F354D8" w:rsidRDefault="00D65EC1" w:rsidP="00F354D8">
      <w:pPr>
        <w:spacing w:after="0" w:line="240" w:lineRule="auto"/>
        <w:rPr>
          <w:rFonts w:ascii="Calibri" w:eastAsia="Calibri" w:hAnsi="Calibri" w:cs="Times New Roman"/>
          <w:b/>
        </w:rPr>
      </w:pPr>
      <w:r w:rsidRPr="00F354D8">
        <w:rPr>
          <w:rFonts w:ascii="Calibri" w:eastAsia="Calibri" w:hAnsi="Calibri" w:cs="Times New Roman"/>
          <w:b/>
        </w:rPr>
        <w:t xml:space="preserve">10.  </w:t>
      </w:r>
      <w:r w:rsidR="00F354D8">
        <w:rPr>
          <w:rFonts w:ascii="Calibri" w:eastAsia="Calibri" w:hAnsi="Calibri" w:cs="Times New Roman"/>
          <w:b/>
        </w:rPr>
        <w:tab/>
      </w:r>
      <w:r w:rsidRPr="00F354D8">
        <w:rPr>
          <w:rFonts w:ascii="Calibri" w:eastAsia="Calibri" w:hAnsi="Calibri" w:cs="Times New Roman"/>
          <w:b/>
        </w:rPr>
        <w:t xml:space="preserve">What the Inversity will do - </w:t>
      </w:r>
      <w:r w:rsidR="00553FCF" w:rsidRPr="00F354D8">
        <w:rPr>
          <w:rFonts w:ascii="Calibri" w:eastAsia="Calibri" w:hAnsi="Calibri" w:cs="Times New Roman"/>
          <w:b/>
        </w:rPr>
        <w:t>The Money Laundering Nominated</w:t>
      </w:r>
      <w:r w:rsidR="00232EDD" w:rsidRPr="00F354D8">
        <w:rPr>
          <w:rFonts w:ascii="Calibri" w:eastAsia="Calibri" w:hAnsi="Calibri" w:cs="Times New Roman"/>
          <w:b/>
        </w:rPr>
        <w:t xml:space="preserve"> Officer (“ML</w:t>
      </w:r>
      <w:r w:rsidR="00553FCF" w:rsidRPr="00F354D8">
        <w:rPr>
          <w:rFonts w:ascii="Calibri" w:eastAsia="Calibri" w:hAnsi="Calibri" w:cs="Times New Roman"/>
          <w:b/>
        </w:rPr>
        <w:t>N</w:t>
      </w:r>
      <w:r w:rsidR="00232EDD" w:rsidRPr="00F354D8">
        <w:rPr>
          <w:rFonts w:ascii="Calibri" w:eastAsia="Calibri" w:hAnsi="Calibri" w:cs="Times New Roman"/>
          <w:b/>
        </w:rPr>
        <w:t>O”)</w:t>
      </w:r>
    </w:p>
    <w:p w:rsidR="00232EDD" w:rsidRPr="00F354D8" w:rsidRDefault="00232EDD" w:rsidP="00F354D8">
      <w:pPr>
        <w:spacing w:after="0" w:line="240" w:lineRule="auto"/>
        <w:rPr>
          <w:rFonts w:ascii="Calibri" w:eastAsia="Calibri" w:hAnsi="Calibri" w:cs="Times New Roman"/>
          <w:b/>
        </w:rPr>
      </w:pPr>
      <w:r w:rsidRPr="00F354D8">
        <w:rPr>
          <w:rFonts w:ascii="Calibri" w:eastAsia="Calibri" w:hAnsi="Calibri" w:cs="Times New Roman"/>
          <w:b/>
        </w:rPr>
        <w:tab/>
      </w:r>
    </w:p>
    <w:p w:rsidR="005A2C51" w:rsidRDefault="00F354D8" w:rsidP="00F354D8">
      <w:pPr>
        <w:spacing w:after="0" w:line="240" w:lineRule="auto"/>
        <w:rPr>
          <w:rFonts w:ascii="Calibri" w:eastAsia="Calibri" w:hAnsi="Calibri" w:cs="Times New Roman"/>
          <w:b/>
        </w:rPr>
      </w:pPr>
      <w:r>
        <w:rPr>
          <w:rFonts w:ascii="Calibri" w:eastAsia="Calibri" w:hAnsi="Calibri" w:cs="Times New Roman"/>
          <w:b/>
        </w:rPr>
        <w:t>11.</w:t>
      </w:r>
      <w:r>
        <w:rPr>
          <w:rFonts w:ascii="Calibri" w:eastAsia="Calibri" w:hAnsi="Calibri" w:cs="Times New Roman"/>
          <w:b/>
        </w:rPr>
        <w:tab/>
        <w:t xml:space="preserve">Appendix 1 </w:t>
      </w:r>
      <w:r w:rsidR="005A2C51" w:rsidRPr="00F354D8">
        <w:rPr>
          <w:rFonts w:ascii="Calibri" w:eastAsia="Calibri" w:hAnsi="Calibri" w:cs="Times New Roman"/>
          <w:b/>
        </w:rPr>
        <w:t>Suspected Money Laundering Reporting Form</w:t>
      </w:r>
    </w:p>
    <w:p w:rsidR="00F354D8" w:rsidRPr="00F354D8" w:rsidRDefault="00F354D8" w:rsidP="00F354D8">
      <w:pPr>
        <w:spacing w:after="0" w:line="240" w:lineRule="auto"/>
        <w:rPr>
          <w:rFonts w:ascii="Calibri" w:eastAsia="Calibri" w:hAnsi="Calibri" w:cs="Times New Roman"/>
          <w:b/>
        </w:rPr>
      </w:pPr>
    </w:p>
    <w:p w:rsidR="000768FB" w:rsidRPr="00F354D8" w:rsidRDefault="00F354D8" w:rsidP="00F354D8">
      <w:pPr>
        <w:spacing w:after="0" w:line="240" w:lineRule="auto"/>
        <w:rPr>
          <w:rFonts w:ascii="Calibri" w:eastAsia="Calibri" w:hAnsi="Calibri" w:cs="Times New Roman"/>
          <w:b/>
        </w:rPr>
      </w:pPr>
      <w:r>
        <w:rPr>
          <w:rFonts w:ascii="Calibri" w:eastAsia="Calibri" w:hAnsi="Calibri" w:cs="Times New Roman"/>
          <w:b/>
        </w:rPr>
        <w:t>12.</w:t>
      </w:r>
      <w:r>
        <w:rPr>
          <w:rFonts w:ascii="Calibri" w:eastAsia="Calibri" w:hAnsi="Calibri" w:cs="Times New Roman"/>
          <w:b/>
        </w:rPr>
        <w:tab/>
        <w:t xml:space="preserve">Appendix 2 </w:t>
      </w:r>
      <w:r w:rsidR="000768FB" w:rsidRPr="00F354D8">
        <w:rPr>
          <w:rFonts w:ascii="Calibri" w:eastAsia="Calibri" w:hAnsi="Calibri" w:cs="Times New Roman"/>
          <w:b/>
        </w:rPr>
        <w:t>ML</w:t>
      </w:r>
      <w:r w:rsidR="00553FCF" w:rsidRPr="00F354D8">
        <w:rPr>
          <w:rFonts w:ascii="Calibri" w:eastAsia="Calibri" w:hAnsi="Calibri" w:cs="Times New Roman"/>
          <w:b/>
        </w:rPr>
        <w:t>NO R</w:t>
      </w:r>
      <w:r>
        <w:rPr>
          <w:rFonts w:ascii="Calibri" w:eastAsia="Calibri" w:hAnsi="Calibri" w:cs="Times New Roman"/>
          <w:b/>
        </w:rPr>
        <w:t>eport</w:t>
      </w:r>
    </w:p>
    <w:p w:rsidR="00F25C72" w:rsidRDefault="00671512" w:rsidP="00F354D8">
      <w:pPr>
        <w:spacing w:after="0" w:line="240" w:lineRule="auto"/>
      </w:pPr>
      <w:r w:rsidRPr="00F354D8">
        <w:rPr>
          <w:rFonts w:ascii="Calibri" w:eastAsia="Calibri" w:hAnsi="Calibri" w:cs="Times New Roman"/>
          <w:b/>
        </w:rPr>
        <w:fldChar w:fldCharType="end"/>
      </w:r>
    </w:p>
    <w:p w:rsidR="00F25C72" w:rsidRDefault="00F25C72" w:rsidP="00D9064C"/>
    <w:p w:rsidR="00F25C72" w:rsidRDefault="00F25C72" w:rsidP="00D9064C"/>
    <w:p w:rsidR="00671512" w:rsidRDefault="00671512" w:rsidP="00D9064C">
      <w:pPr>
        <w:sectPr w:rsidR="00671512" w:rsidSect="00671512">
          <w:headerReference w:type="even" r:id="rId10"/>
          <w:headerReference w:type="default" r:id="rId11"/>
          <w:headerReference w:type="first" r:id="rId12"/>
          <w:type w:val="continuous"/>
          <w:pgSz w:w="11906" w:h="16838"/>
          <w:pgMar w:top="1440" w:right="1440" w:bottom="1440" w:left="1440" w:header="708" w:footer="708" w:gutter="0"/>
          <w:pgNumType w:start="1"/>
          <w:cols w:space="708"/>
          <w:docGrid w:linePitch="360"/>
        </w:sectPr>
      </w:pPr>
    </w:p>
    <w:p w:rsidR="00F25C72" w:rsidRDefault="00F25C72" w:rsidP="00D9064C"/>
    <w:p w:rsidR="00F25C72" w:rsidRDefault="00F25C72" w:rsidP="00D9064C">
      <w:r>
        <w:br w:type="page"/>
      </w:r>
    </w:p>
    <w:p w:rsidR="00F25C72" w:rsidRDefault="00F25C72" w:rsidP="009C2EDD">
      <w:pPr>
        <w:pStyle w:val="HeadingOne"/>
        <w:spacing w:after="0" w:line="240" w:lineRule="auto"/>
        <w:ind w:left="567" w:hanging="567"/>
        <w:jc w:val="both"/>
      </w:pPr>
      <w:bookmarkStart w:id="1" w:name="_Toc436320295"/>
      <w:r w:rsidRPr="00F354D8">
        <w:lastRenderedPageBreak/>
        <w:t>Introduction</w:t>
      </w:r>
      <w:bookmarkEnd w:id="1"/>
    </w:p>
    <w:p w:rsidR="00F354D8" w:rsidRPr="00F354D8" w:rsidRDefault="00F354D8" w:rsidP="00F354D8">
      <w:pPr>
        <w:pStyle w:val="HeadingOne"/>
        <w:numPr>
          <w:ilvl w:val="0"/>
          <w:numId w:val="0"/>
        </w:numPr>
        <w:spacing w:after="0" w:line="240" w:lineRule="auto"/>
        <w:ind w:left="720" w:hanging="360"/>
        <w:jc w:val="both"/>
      </w:pPr>
    </w:p>
    <w:p w:rsidR="00516719" w:rsidRPr="00F354D8" w:rsidRDefault="00AE2ED6" w:rsidP="00924D0C">
      <w:pPr>
        <w:jc w:val="both"/>
        <w:rPr>
          <w:lang w:val="en"/>
        </w:rPr>
      </w:pPr>
      <w:r w:rsidRPr="00F354D8">
        <w:rPr>
          <w:lang w:val="en"/>
        </w:rPr>
        <w:t>This Policy outlines how Glasgow Caledonian University</w:t>
      </w:r>
      <w:r w:rsidR="00516719" w:rsidRPr="00F354D8">
        <w:rPr>
          <w:lang w:val="en"/>
        </w:rPr>
        <w:t xml:space="preserve">, its </w:t>
      </w:r>
      <w:r w:rsidR="0087485D" w:rsidRPr="00F354D8">
        <w:rPr>
          <w:lang w:val="en"/>
        </w:rPr>
        <w:t xml:space="preserve">UK </w:t>
      </w:r>
      <w:r w:rsidR="00516719" w:rsidRPr="00F354D8">
        <w:rPr>
          <w:lang w:val="en"/>
        </w:rPr>
        <w:t xml:space="preserve">subsidiary companies </w:t>
      </w:r>
      <w:r w:rsidRPr="00F354D8">
        <w:rPr>
          <w:lang w:val="en"/>
        </w:rPr>
        <w:t>and its employees will manage money laundering ri</w:t>
      </w:r>
      <w:r w:rsidR="00C2308A" w:rsidRPr="00F354D8">
        <w:rPr>
          <w:lang w:val="en"/>
        </w:rPr>
        <w:t xml:space="preserve">sks and comply with </w:t>
      </w:r>
      <w:r w:rsidR="00516719" w:rsidRPr="00F354D8">
        <w:rPr>
          <w:lang w:val="en"/>
        </w:rPr>
        <w:t>its legal obligations in accordance with the Proceeds of Crime Act 2002 and the Terrorism Act 2000.</w:t>
      </w:r>
      <w:r w:rsidR="007073F5" w:rsidRPr="00F354D8">
        <w:rPr>
          <w:lang w:val="en"/>
        </w:rPr>
        <w:t xml:space="preserve"> </w:t>
      </w:r>
      <w:r w:rsidR="00924D0C" w:rsidRPr="00F354D8">
        <w:rPr>
          <w:lang w:val="en"/>
        </w:rPr>
        <w:t xml:space="preserve">These </w:t>
      </w:r>
      <w:r w:rsidR="0087485D" w:rsidRPr="00F354D8">
        <w:rPr>
          <w:lang w:val="en"/>
        </w:rPr>
        <w:t>Act</w:t>
      </w:r>
      <w:r w:rsidR="00924D0C" w:rsidRPr="00F354D8">
        <w:rPr>
          <w:lang w:val="en"/>
        </w:rPr>
        <w:t>s</w:t>
      </w:r>
      <w:r w:rsidR="0087485D" w:rsidRPr="00F354D8">
        <w:rPr>
          <w:lang w:val="en"/>
        </w:rPr>
        <w:t xml:space="preserve"> have detailed </w:t>
      </w:r>
      <w:r w:rsidR="00924D0C" w:rsidRPr="00F354D8">
        <w:rPr>
          <w:lang w:val="en"/>
        </w:rPr>
        <w:t>provisions which mean</w:t>
      </w:r>
      <w:r w:rsidR="0087485D" w:rsidRPr="00F354D8">
        <w:rPr>
          <w:lang w:val="en"/>
        </w:rPr>
        <w:t xml:space="preserve"> that they may cover activities carried on by persons </w:t>
      </w:r>
      <w:r w:rsidR="00791149" w:rsidRPr="00F354D8">
        <w:rPr>
          <w:lang w:val="en"/>
        </w:rPr>
        <w:t xml:space="preserve">inside and </w:t>
      </w:r>
      <w:r w:rsidR="0087485D" w:rsidRPr="00F354D8">
        <w:rPr>
          <w:lang w:val="en"/>
        </w:rPr>
        <w:t xml:space="preserve">outside the United Kingdom. It is therefore important that those persons acting for the UK based entities are aware of the Policy and abide by it when carrying on activities in </w:t>
      </w:r>
      <w:r w:rsidR="00791149" w:rsidRPr="00F354D8">
        <w:rPr>
          <w:lang w:val="en"/>
        </w:rPr>
        <w:t xml:space="preserve">the UK and </w:t>
      </w:r>
      <w:r w:rsidR="0087485D" w:rsidRPr="00F354D8">
        <w:rPr>
          <w:lang w:val="en"/>
        </w:rPr>
        <w:t>other jurisdictions.</w:t>
      </w:r>
      <w:r w:rsidR="00924D0C" w:rsidRPr="00F354D8">
        <w:rPr>
          <w:lang w:val="en"/>
        </w:rPr>
        <w:t xml:space="preserve"> This Policy</w:t>
      </w:r>
      <w:r w:rsidR="007073F5" w:rsidRPr="00F354D8">
        <w:rPr>
          <w:lang w:val="en"/>
        </w:rPr>
        <w:t xml:space="preserve"> applies to Co</w:t>
      </w:r>
      <w:r w:rsidR="00516719" w:rsidRPr="00F354D8">
        <w:rPr>
          <w:lang w:val="en"/>
        </w:rPr>
        <w:t>urt, Executive, Management and Staff members</w:t>
      </w:r>
      <w:r w:rsidR="0087485D" w:rsidRPr="00F354D8">
        <w:rPr>
          <w:lang w:val="en"/>
        </w:rPr>
        <w:t>.</w:t>
      </w:r>
    </w:p>
    <w:p w:rsidR="0087485D" w:rsidRPr="00F354D8" w:rsidRDefault="005913EF" w:rsidP="009C2EDD">
      <w:pPr>
        <w:spacing w:after="0" w:line="240" w:lineRule="auto"/>
        <w:jc w:val="both"/>
        <w:rPr>
          <w:lang w:val="en"/>
        </w:rPr>
      </w:pPr>
      <w:r>
        <w:rPr>
          <w:lang w:val="en"/>
        </w:rPr>
        <w:t>GC</w:t>
      </w:r>
      <w:r w:rsidR="00890236">
        <w:rPr>
          <w:lang w:val="en"/>
        </w:rPr>
        <w:t xml:space="preserve">NYC </w:t>
      </w:r>
      <w:r w:rsidR="00924D0C" w:rsidRPr="00F354D8">
        <w:rPr>
          <w:lang w:val="en"/>
        </w:rPr>
        <w:t>will be subject to the laws in that jurisdiction.</w:t>
      </w:r>
    </w:p>
    <w:p w:rsidR="00924D0C" w:rsidRPr="00F354D8" w:rsidRDefault="00924D0C" w:rsidP="009C2EDD">
      <w:pPr>
        <w:spacing w:after="0" w:line="240" w:lineRule="auto"/>
        <w:jc w:val="both"/>
        <w:rPr>
          <w:lang w:val="en"/>
        </w:rPr>
      </w:pPr>
    </w:p>
    <w:p w:rsidR="00516719" w:rsidRPr="00F354D8" w:rsidRDefault="00516719" w:rsidP="00516719">
      <w:pPr>
        <w:jc w:val="both"/>
        <w:rPr>
          <w:lang w:val="en"/>
        </w:rPr>
      </w:pPr>
      <w:r w:rsidRPr="00F354D8">
        <w:rPr>
          <w:lang w:val="en"/>
        </w:rPr>
        <w:t xml:space="preserve">This </w:t>
      </w:r>
      <w:r w:rsidR="00924D0C" w:rsidRPr="00F354D8">
        <w:rPr>
          <w:lang w:val="en"/>
        </w:rPr>
        <w:t>P</w:t>
      </w:r>
      <w:r w:rsidRPr="00F354D8">
        <w:rPr>
          <w:lang w:val="en"/>
        </w:rPr>
        <w:t>olicy sets out the procedure to be followed if money laundering is suspected, and defines the responsibility of both the University and individual employees in the process.</w:t>
      </w:r>
    </w:p>
    <w:p w:rsidR="00AE2ED6" w:rsidRPr="00F354D8" w:rsidRDefault="00516719" w:rsidP="009C2EDD">
      <w:pPr>
        <w:spacing w:after="0" w:line="240" w:lineRule="auto"/>
        <w:jc w:val="both"/>
        <w:rPr>
          <w:lang w:val="en"/>
        </w:rPr>
      </w:pPr>
      <w:r w:rsidRPr="00F354D8">
        <w:rPr>
          <w:lang w:val="en"/>
        </w:rPr>
        <w:t>R</w:t>
      </w:r>
      <w:r w:rsidR="00242D90" w:rsidRPr="00F354D8">
        <w:rPr>
          <w:lang w:val="en"/>
        </w:rPr>
        <w:t>eviewed on an annual basis, within the Policy Review Framework</w:t>
      </w:r>
      <w:r w:rsidRPr="00F354D8">
        <w:rPr>
          <w:lang w:val="en"/>
        </w:rPr>
        <w:t>, this Policy will also be</w:t>
      </w:r>
      <w:r w:rsidR="00242D90" w:rsidRPr="00F354D8">
        <w:rPr>
          <w:lang w:val="en"/>
        </w:rPr>
        <w:t xml:space="preserve"> reviewed in line with the changes to relevant legislation. The Policy </w:t>
      </w:r>
      <w:r w:rsidR="00E40A1F" w:rsidRPr="00F354D8">
        <w:rPr>
          <w:lang w:val="en"/>
        </w:rPr>
        <w:t>is available on the University website.</w:t>
      </w:r>
      <w:r w:rsidR="00242D90" w:rsidRPr="00F354D8">
        <w:rPr>
          <w:lang w:val="en"/>
        </w:rPr>
        <w:t xml:space="preserve"> </w:t>
      </w:r>
    </w:p>
    <w:p w:rsidR="009C2EDD" w:rsidRPr="00F354D8" w:rsidRDefault="009C2EDD" w:rsidP="009C2EDD">
      <w:pPr>
        <w:spacing w:after="0" w:line="240" w:lineRule="auto"/>
        <w:jc w:val="both"/>
        <w:rPr>
          <w:lang w:val="en"/>
        </w:rPr>
      </w:pPr>
    </w:p>
    <w:p w:rsidR="003C0EEF" w:rsidRPr="00F354D8" w:rsidRDefault="003C0EEF" w:rsidP="009C2EDD">
      <w:pPr>
        <w:spacing w:after="0" w:line="240" w:lineRule="auto"/>
        <w:jc w:val="both"/>
        <w:rPr>
          <w:lang w:val="en"/>
        </w:rPr>
      </w:pPr>
      <w:r w:rsidRPr="00F354D8">
        <w:rPr>
          <w:lang w:val="en"/>
        </w:rPr>
        <w:t>The requirements of the UK anti-money</w:t>
      </w:r>
      <w:r w:rsidR="00552814" w:rsidRPr="00F354D8">
        <w:rPr>
          <w:lang w:val="en"/>
        </w:rPr>
        <w:t xml:space="preserve"> </w:t>
      </w:r>
      <w:r w:rsidRPr="00F354D8">
        <w:rPr>
          <w:lang w:val="en"/>
        </w:rPr>
        <w:t>laundering regime are set out in:</w:t>
      </w:r>
    </w:p>
    <w:p w:rsidR="0089152A" w:rsidRPr="00F354D8" w:rsidRDefault="0089152A" w:rsidP="0089152A">
      <w:pPr>
        <w:pStyle w:val="ListParagraph"/>
        <w:numPr>
          <w:ilvl w:val="0"/>
          <w:numId w:val="2"/>
        </w:numPr>
        <w:spacing w:after="0" w:line="240" w:lineRule="auto"/>
        <w:contextualSpacing w:val="0"/>
        <w:jc w:val="both"/>
        <w:rPr>
          <w:lang w:val="en"/>
        </w:rPr>
      </w:pPr>
      <w:r w:rsidRPr="00F354D8">
        <w:rPr>
          <w:lang w:val="en"/>
        </w:rPr>
        <w:t>Money Laundering, Terrorist Financing and Transfer of Funds (Information on the Payer) Regulations 2017 (MLR 2017)</w:t>
      </w:r>
    </w:p>
    <w:p w:rsidR="0089152A" w:rsidRPr="00F354D8" w:rsidRDefault="0089152A" w:rsidP="0089152A">
      <w:pPr>
        <w:pStyle w:val="ListParagraph"/>
        <w:numPr>
          <w:ilvl w:val="0"/>
          <w:numId w:val="2"/>
        </w:numPr>
        <w:spacing w:after="0" w:line="240" w:lineRule="auto"/>
        <w:contextualSpacing w:val="0"/>
        <w:jc w:val="both"/>
        <w:rPr>
          <w:lang w:val="en"/>
        </w:rPr>
      </w:pPr>
      <w:r w:rsidRPr="00F354D8">
        <w:rPr>
          <w:lang w:val="en"/>
        </w:rPr>
        <w:t>Proceeds of Crime Act 2002 (as amended)</w:t>
      </w:r>
    </w:p>
    <w:p w:rsidR="0089152A" w:rsidRPr="00F354D8" w:rsidRDefault="0089152A" w:rsidP="0089152A">
      <w:pPr>
        <w:pStyle w:val="ListParagraph"/>
        <w:numPr>
          <w:ilvl w:val="0"/>
          <w:numId w:val="2"/>
        </w:numPr>
        <w:spacing w:after="0" w:line="240" w:lineRule="auto"/>
        <w:contextualSpacing w:val="0"/>
        <w:jc w:val="both"/>
        <w:rPr>
          <w:lang w:val="en"/>
        </w:rPr>
      </w:pPr>
      <w:r w:rsidRPr="00F354D8">
        <w:rPr>
          <w:lang w:val="en"/>
        </w:rPr>
        <w:t>Terrorism Act 2000 (as amended by the Anti-terrorism, Crime and Security Act 2001)</w:t>
      </w:r>
    </w:p>
    <w:p w:rsidR="0089152A" w:rsidRPr="00F354D8" w:rsidRDefault="0089152A" w:rsidP="0089152A">
      <w:pPr>
        <w:pStyle w:val="ListParagraph"/>
        <w:numPr>
          <w:ilvl w:val="0"/>
          <w:numId w:val="2"/>
        </w:numPr>
        <w:spacing w:after="0" w:line="240" w:lineRule="auto"/>
        <w:contextualSpacing w:val="0"/>
        <w:jc w:val="both"/>
        <w:rPr>
          <w:lang w:val="en"/>
        </w:rPr>
      </w:pPr>
      <w:r w:rsidRPr="00F354D8">
        <w:rPr>
          <w:lang w:val="en"/>
        </w:rPr>
        <w:t>Counter-terrorism Act 2008, Schedule 7</w:t>
      </w:r>
    </w:p>
    <w:p w:rsidR="0089152A" w:rsidRPr="00F354D8" w:rsidRDefault="0089152A" w:rsidP="0089152A">
      <w:pPr>
        <w:pStyle w:val="ListParagraph"/>
        <w:numPr>
          <w:ilvl w:val="0"/>
          <w:numId w:val="2"/>
        </w:numPr>
        <w:spacing w:after="0" w:line="240" w:lineRule="auto"/>
        <w:contextualSpacing w:val="0"/>
        <w:jc w:val="both"/>
        <w:rPr>
          <w:lang w:val="en"/>
        </w:rPr>
      </w:pPr>
      <w:r w:rsidRPr="00F354D8">
        <w:rPr>
          <w:lang w:val="en"/>
        </w:rPr>
        <w:t>HM Treasury Sanctions Notices and News Releases</w:t>
      </w:r>
    </w:p>
    <w:p w:rsidR="0089152A" w:rsidRPr="00F354D8" w:rsidRDefault="0089152A" w:rsidP="0089152A">
      <w:pPr>
        <w:pStyle w:val="ListParagraph"/>
        <w:numPr>
          <w:ilvl w:val="0"/>
          <w:numId w:val="2"/>
        </w:numPr>
        <w:spacing w:after="0" w:line="240" w:lineRule="auto"/>
        <w:contextualSpacing w:val="0"/>
        <w:jc w:val="both"/>
        <w:rPr>
          <w:lang w:val="en"/>
        </w:rPr>
      </w:pPr>
      <w:r w:rsidRPr="00F354D8">
        <w:rPr>
          <w:lang w:val="en"/>
        </w:rPr>
        <w:t>Joint Money Laundering Steering Group (JMLSG) Guidance</w:t>
      </w:r>
    </w:p>
    <w:p w:rsidR="009C2EDD" w:rsidRPr="00F354D8" w:rsidRDefault="009C2EDD" w:rsidP="008971EC">
      <w:pPr>
        <w:pStyle w:val="ListParagraph"/>
        <w:spacing w:after="0" w:line="240" w:lineRule="auto"/>
        <w:jc w:val="both"/>
        <w:rPr>
          <w:lang w:val="en"/>
        </w:rPr>
      </w:pPr>
    </w:p>
    <w:p w:rsidR="00C2308A" w:rsidRPr="00F354D8" w:rsidRDefault="00C2308A" w:rsidP="009C2EDD">
      <w:pPr>
        <w:spacing w:after="0" w:line="240" w:lineRule="auto"/>
        <w:jc w:val="both"/>
        <w:rPr>
          <w:lang w:val="en"/>
        </w:rPr>
      </w:pPr>
      <w:r w:rsidRPr="00F354D8">
        <w:rPr>
          <w:lang w:val="en"/>
        </w:rPr>
        <w:t xml:space="preserve">The </w:t>
      </w:r>
      <w:r w:rsidR="00C833BE" w:rsidRPr="00F354D8">
        <w:rPr>
          <w:lang w:val="en"/>
        </w:rPr>
        <w:t>Money Laundering Regulations 20</w:t>
      </w:r>
      <w:r w:rsidR="0089152A" w:rsidRPr="00F354D8">
        <w:rPr>
          <w:lang w:val="en"/>
        </w:rPr>
        <w:t>1</w:t>
      </w:r>
      <w:r w:rsidR="00C833BE" w:rsidRPr="00F354D8">
        <w:rPr>
          <w:lang w:val="en"/>
        </w:rPr>
        <w:t>7</w:t>
      </w:r>
      <w:r w:rsidRPr="00F354D8">
        <w:rPr>
          <w:lang w:val="en"/>
        </w:rPr>
        <w:t xml:space="preserve"> is the main piece of </w:t>
      </w:r>
      <w:r w:rsidR="00C833BE" w:rsidRPr="00F354D8">
        <w:rPr>
          <w:lang w:val="en"/>
        </w:rPr>
        <w:t xml:space="preserve">legislation in the UK which seeks to set procedures and standards to address and prevent money laundering. </w:t>
      </w:r>
      <w:r w:rsidR="00A91F69" w:rsidRPr="00F354D8">
        <w:rPr>
          <w:lang w:val="en"/>
        </w:rPr>
        <w:t>It is important to note that t</w:t>
      </w:r>
      <w:r w:rsidR="00C833BE" w:rsidRPr="00F354D8">
        <w:rPr>
          <w:lang w:val="en"/>
        </w:rPr>
        <w:t xml:space="preserve">hese regulations are not of universal application, applying only to organisations that are classified as ‘relevant persons’. The </w:t>
      </w:r>
      <w:r w:rsidR="00035C6D" w:rsidRPr="00F354D8">
        <w:rPr>
          <w:lang w:val="en"/>
        </w:rPr>
        <w:t xml:space="preserve">University does not carry out any activities falling within the definition of ‘relevant persons’ </w:t>
      </w:r>
      <w:r w:rsidR="00C833BE" w:rsidRPr="00F354D8">
        <w:rPr>
          <w:lang w:val="en"/>
        </w:rPr>
        <w:t>thus falls out with the scope of these Regulations.</w:t>
      </w:r>
    </w:p>
    <w:p w:rsidR="009C2EDD" w:rsidRPr="00F354D8" w:rsidRDefault="009C2EDD" w:rsidP="009C2EDD">
      <w:pPr>
        <w:spacing w:after="0" w:line="240" w:lineRule="auto"/>
        <w:jc w:val="both"/>
        <w:rPr>
          <w:lang w:val="en"/>
        </w:rPr>
      </w:pPr>
    </w:p>
    <w:p w:rsidR="009C2EDD" w:rsidRPr="00F354D8" w:rsidRDefault="00C833BE" w:rsidP="009C2EDD">
      <w:pPr>
        <w:spacing w:after="0" w:line="240" w:lineRule="auto"/>
        <w:jc w:val="both"/>
        <w:rPr>
          <w:lang w:val="en"/>
        </w:rPr>
      </w:pPr>
      <w:r w:rsidRPr="00F354D8">
        <w:rPr>
          <w:lang w:val="en"/>
        </w:rPr>
        <w:t xml:space="preserve">The Proceeds of Crime Act 2002 and Terrorism Act 2000 are not limited in their application </w:t>
      </w:r>
      <w:r w:rsidR="00C6264A" w:rsidRPr="00F354D8">
        <w:rPr>
          <w:lang w:val="en"/>
        </w:rPr>
        <w:t>and apply to all transactions; cheque, cash, bank transfers, property and equipment from individuals, agents or third parties.</w:t>
      </w:r>
      <w:r w:rsidR="00A91F69" w:rsidRPr="00F354D8">
        <w:rPr>
          <w:lang w:val="en"/>
        </w:rPr>
        <w:t xml:space="preserve"> </w:t>
      </w:r>
    </w:p>
    <w:p w:rsidR="00516719" w:rsidRPr="00F354D8" w:rsidRDefault="00516719" w:rsidP="009C2EDD">
      <w:pPr>
        <w:spacing w:after="0" w:line="240" w:lineRule="auto"/>
        <w:jc w:val="both"/>
        <w:rPr>
          <w:lang w:val="en"/>
        </w:rPr>
      </w:pPr>
    </w:p>
    <w:p w:rsidR="00C833BE" w:rsidRPr="00F354D8" w:rsidRDefault="00276D08" w:rsidP="009C2EDD">
      <w:pPr>
        <w:spacing w:after="0" w:line="240" w:lineRule="auto"/>
        <w:jc w:val="both"/>
        <w:rPr>
          <w:lang w:val="en"/>
        </w:rPr>
      </w:pPr>
      <w:r w:rsidRPr="00F354D8">
        <w:rPr>
          <w:lang w:val="en"/>
        </w:rPr>
        <w:t xml:space="preserve">The Counter Terrorism Act </w:t>
      </w:r>
      <w:r w:rsidR="00B565E0" w:rsidRPr="00F354D8">
        <w:rPr>
          <w:lang w:val="en"/>
        </w:rPr>
        <w:t xml:space="preserve">2008 </w:t>
      </w:r>
      <w:r w:rsidRPr="00F354D8">
        <w:rPr>
          <w:lang w:val="en"/>
        </w:rPr>
        <w:t xml:space="preserve">should not have direct effect on the University. This Act applies to persons operating in the financial sector; </w:t>
      </w:r>
      <w:r w:rsidR="00847150" w:rsidRPr="00F354D8">
        <w:rPr>
          <w:lang w:val="en"/>
        </w:rPr>
        <w:t>therefore,</w:t>
      </w:r>
      <w:r w:rsidRPr="00F354D8">
        <w:rPr>
          <w:lang w:val="en"/>
        </w:rPr>
        <w:t xml:space="preserve"> the University falls out with the scope of the provisions of this Act.</w:t>
      </w:r>
    </w:p>
    <w:p w:rsidR="009C2EDD" w:rsidRPr="00F354D8" w:rsidRDefault="009C2EDD" w:rsidP="009C2EDD">
      <w:pPr>
        <w:spacing w:after="0" w:line="240" w:lineRule="auto"/>
        <w:jc w:val="both"/>
        <w:rPr>
          <w:lang w:val="en"/>
        </w:rPr>
      </w:pPr>
    </w:p>
    <w:p w:rsidR="007073F5" w:rsidRPr="00F354D8" w:rsidRDefault="007073F5" w:rsidP="009C2EDD">
      <w:pPr>
        <w:spacing w:after="0" w:line="240" w:lineRule="auto"/>
        <w:jc w:val="both"/>
        <w:rPr>
          <w:lang w:val="en"/>
        </w:rPr>
      </w:pPr>
      <w:r w:rsidRPr="00F354D8">
        <w:rPr>
          <w:lang w:val="en"/>
        </w:rPr>
        <w:t>The</w:t>
      </w:r>
      <w:r w:rsidR="00C6264A" w:rsidRPr="00F354D8">
        <w:rPr>
          <w:lang w:val="en"/>
        </w:rPr>
        <w:t xml:space="preserve"> Anti-Money Laundering Policy</w:t>
      </w:r>
      <w:r w:rsidRPr="00F354D8">
        <w:rPr>
          <w:lang w:val="en"/>
        </w:rPr>
        <w:t xml:space="preserve"> is one policy in a suite of counter fraud policies in place at the University, including:</w:t>
      </w:r>
    </w:p>
    <w:p w:rsidR="00C6264A" w:rsidRPr="00F354D8" w:rsidRDefault="00C6264A" w:rsidP="009C2EDD">
      <w:pPr>
        <w:pStyle w:val="ListParagraph"/>
        <w:numPr>
          <w:ilvl w:val="0"/>
          <w:numId w:val="33"/>
        </w:numPr>
        <w:spacing w:after="0" w:line="240" w:lineRule="auto"/>
        <w:jc w:val="both"/>
        <w:rPr>
          <w:lang w:val="en"/>
        </w:rPr>
      </w:pPr>
      <w:r w:rsidRPr="00F354D8">
        <w:rPr>
          <w:lang w:val="en"/>
        </w:rPr>
        <w:t>Financial Regulations</w:t>
      </w:r>
      <w:r w:rsidRPr="00F354D8">
        <w:rPr>
          <w:lang w:val="en"/>
        </w:rPr>
        <w:tab/>
      </w:r>
      <w:r w:rsidRPr="00F354D8">
        <w:rPr>
          <w:lang w:val="en"/>
        </w:rPr>
        <w:tab/>
      </w:r>
      <w:r w:rsidR="00242D90" w:rsidRPr="00F354D8">
        <w:rPr>
          <w:lang w:val="en"/>
        </w:rPr>
        <w:tab/>
      </w:r>
      <w:r w:rsidR="0089152A" w:rsidRPr="00F354D8">
        <w:rPr>
          <w:lang w:val="en"/>
        </w:rPr>
        <w:tab/>
      </w:r>
      <w:r w:rsidRPr="00F354D8">
        <w:rPr>
          <w:lang w:val="en"/>
        </w:rPr>
        <w:t>(contact Finance)</w:t>
      </w:r>
    </w:p>
    <w:p w:rsidR="007073F5" w:rsidRPr="00F354D8" w:rsidRDefault="007073F5" w:rsidP="007073F5">
      <w:pPr>
        <w:pStyle w:val="ListParagraph"/>
        <w:numPr>
          <w:ilvl w:val="0"/>
          <w:numId w:val="33"/>
        </w:numPr>
        <w:spacing w:after="0" w:line="240" w:lineRule="auto"/>
        <w:jc w:val="both"/>
        <w:rPr>
          <w:lang w:val="en"/>
        </w:rPr>
      </w:pPr>
      <w:r w:rsidRPr="00F354D8">
        <w:rPr>
          <w:lang w:val="en"/>
        </w:rPr>
        <w:t>Financial Misconduct</w:t>
      </w:r>
      <w:r w:rsidRPr="00F354D8">
        <w:rPr>
          <w:lang w:val="en"/>
        </w:rPr>
        <w:tab/>
      </w:r>
      <w:r w:rsidRPr="00F354D8">
        <w:rPr>
          <w:lang w:val="en"/>
        </w:rPr>
        <w:tab/>
      </w:r>
      <w:r w:rsidRPr="00F354D8">
        <w:rPr>
          <w:lang w:val="en"/>
        </w:rPr>
        <w:tab/>
      </w:r>
      <w:r w:rsidR="0089152A" w:rsidRPr="00F354D8">
        <w:rPr>
          <w:lang w:val="en"/>
        </w:rPr>
        <w:tab/>
      </w:r>
      <w:r w:rsidRPr="00F354D8">
        <w:rPr>
          <w:lang w:val="en"/>
        </w:rPr>
        <w:t>(contact Finance)</w:t>
      </w:r>
    </w:p>
    <w:p w:rsidR="00C6264A" w:rsidRPr="00F354D8" w:rsidRDefault="00C6264A" w:rsidP="009C2EDD">
      <w:pPr>
        <w:pStyle w:val="ListParagraph"/>
        <w:numPr>
          <w:ilvl w:val="0"/>
          <w:numId w:val="33"/>
        </w:numPr>
        <w:spacing w:after="0" w:line="240" w:lineRule="auto"/>
        <w:jc w:val="both"/>
        <w:rPr>
          <w:lang w:val="en"/>
        </w:rPr>
      </w:pPr>
      <w:r w:rsidRPr="00F354D8">
        <w:rPr>
          <w:lang w:val="en"/>
        </w:rPr>
        <w:t>Delegated Authority Policy</w:t>
      </w:r>
      <w:r w:rsidR="00242D90" w:rsidRPr="00F354D8">
        <w:rPr>
          <w:lang w:val="en"/>
        </w:rPr>
        <w:tab/>
      </w:r>
      <w:r w:rsidRPr="00F354D8">
        <w:rPr>
          <w:lang w:val="en"/>
        </w:rPr>
        <w:tab/>
      </w:r>
      <w:r w:rsidR="0089152A" w:rsidRPr="00F354D8">
        <w:rPr>
          <w:lang w:val="en"/>
        </w:rPr>
        <w:tab/>
      </w:r>
      <w:r w:rsidRPr="00F354D8">
        <w:rPr>
          <w:lang w:val="en"/>
        </w:rPr>
        <w:t>(contact Finance)</w:t>
      </w:r>
    </w:p>
    <w:p w:rsidR="0089152A" w:rsidRPr="00F354D8" w:rsidRDefault="0089152A" w:rsidP="009C2EDD">
      <w:pPr>
        <w:pStyle w:val="ListParagraph"/>
        <w:numPr>
          <w:ilvl w:val="0"/>
          <w:numId w:val="33"/>
        </w:numPr>
        <w:spacing w:after="0" w:line="240" w:lineRule="auto"/>
        <w:jc w:val="both"/>
        <w:rPr>
          <w:lang w:val="en"/>
        </w:rPr>
      </w:pPr>
      <w:r w:rsidRPr="00F354D8">
        <w:rPr>
          <w:lang w:val="en"/>
        </w:rPr>
        <w:t>Criminal Facilitation of Tax Evasion Statement</w:t>
      </w:r>
      <w:r w:rsidRPr="00F354D8">
        <w:rPr>
          <w:lang w:val="en"/>
        </w:rPr>
        <w:tab/>
        <w:t>(contact Finance)</w:t>
      </w:r>
    </w:p>
    <w:p w:rsidR="00C6264A" w:rsidRPr="00F354D8" w:rsidRDefault="00242D90" w:rsidP="009C2EDD">
      <w:pPr>
        <w:pStyle w:val="ListParagraph"/>
        <w:numPr>
          <w:ilvl w:val="0"/>
          <w:numId w:val="33"/>
        </w:numPr>
        <w:spacing w:after="0" w:line="240" w:lineRule="auto"/>
        <w:jc w:val="both"/>
        <w:rPr>
          <w:lang w:val="en"/>
        </w:rPr>
      </w:pPr>
      <w:r w:rsidRPr="00F354D8">
        <w:rPr>
          <w:lang w:val="en"/>
        </w:rPr>
        <w:t>Public Interest Disclosure Policy</w:t>
      </w:r>
      <w:r w:rsidR="00C6264A" w:rsidRPr="00F354D8">
        <w:rPr>
          <w:lang w:val="en"/>
        </w:rPr>
        <w:t xml:space="preserve"> </w:t>
      </w:r>
      <w:r w:rsidR="00C6264A" w:rsidRPr="00F354D8">
        <w:rPr>
          <w:lang w:val="en"/>
        </w:rPr>
        <w:tab/>
      </w:r>
      <w:r w:rsidR="003B71A8" w:rsidRPr="00F354D8">
        <w:rPr>
          <w:lang w:val="en"/>
        </w:rPr>
        <w:tab/>
      </w:r>
      <w:r w:rsidR="00C6264A" w:rsidRPr="00F354D8">
        <w:rPr>
          <w:lang w:val="en"/>
        </w:rPr>
        <w:t xml:space="preserve">(contact </w:t>
      </w:r>
      <w:r w:rsidRPr="00F354D8">
        <w:rPr>
          <w:lang w:val="en"/>
        </w:rPr>
        <w:t>People Services</w:t>
      </w:r>
      <w:r w:rsidR="00C6264A" w:rsidRPr="00F354D8">
        <w:rPr>
          <w:lang w:val="en"/>
        </w:rPr>
        <w:t>)</w:t>
      </w:r>
    </w:p>
    <w:p w:rsidR="007073F5" w:rsidRPr="00F354D8" w:rsidRDefault="007073F5" w:rsidP="007073F5">
      <w:pPr>
        <w:pStyle w:val="ListParagraph"/>
        <w:numPr>
          <w:ilvl w:val="0"/>
          <w:numId w:val="33"/>
        </w:numPr>
        <w:spacing w:after="0" w:line="240" w:lineRule="auto"/>
        <w:jc w:val="both"/>
        <w:rPr>
          <w:lang w:val="en"/>
        </w:rPr>
      </w:pPr>
      <w:r w:rsidRPr="00F354D8">
        <w:rPr>
          <w:lang w:val="en"/>
        </w:rPr>
        <w:t>Anti-Bribery Policy</w:t>
      </w:r>
      <w:r w:rsidRPr="00F354D8">
        <w:rPr>
          <w:lang w:val="en"/>
        </w:rPr>
        <w:tab/>
      </w:r>
      <w:r w:rsidRPr="00F354D8">
        <w:rPr>
          <w:lang w:val="en"/>
        </w:rPr>
        <w:tab/>
      </w:r>
      <w:r w:rsidRPr="00F354D8">
        <w:rPr>
          <w:lang w:val="en"/>
        </w:rPr>
        <w:tab/>
      </w:r>
      <w:r w:rsidR="0089152A" w:rsidRPr="00F354D8">
        <w:rPr>
          <w:lang w:val="en"/>
        </w:rPr>
        <w:tab/>
      </w:r>
      <w:r w:rsidRPr="00F354D8">
        <w:rPr>
          <w:lang w:val="en"/>
        </w:rPr>
        <w:t>(contact Governance)</w:t>
      </w:r>
    </w:p>
    <w:p w:rsidR="00890236" w:rsidRPr="00890236" w:rsidRDefault="00890236" w:rsidP="00622393">
      <w:pPr>
        <w:pStyle w:val="ListParagraph"/>
        <w:numPr>
          <w:ilvl w:val="0"/>
          <w:numId w:val="33"/>
        </w:numPr>
        <w:spacing w:after="0" w:line="240" w:lineRule="auto"/>
        <w:jc w:val="both"/>
        <w:rPr>
          <w:lang w:val="en"/>
        </w:rPr>
      </w:pPr>
      <w:r w:rsidRPr="00890236">
        <w:rPr>
          <w:lang w:val="en"/>
        </w:rPr>
        <w:t xml:space="preserve">Gifts &amp; Hospitality </w:t>
      </w:r>
      <w:r w:rsidRPr="00890236">
        <w:rPr>
          <w:lang w:val="en"/>
        </w:rPr>
        <w:tab/>
      </w:r>
      <w:r w:rsidRPr="00890236">
        <w:rPr>
          <w:lang w:val="en"/>
        </w:rPr>
        <w:tab/>
      </w:r>
      <w:r w:rsidRPr="00890236">
        <w:rPr>
          <w:lang w:val="en"/>
        </w:rPr>
        <w:tab/>
      </w:r>
      <w:r w:rsidRPr="00890236">
        <w:rPr>
          <w:lang w:val="en"/>
        </w:rPr>
        <w:tab/>
        <w:t>(contact Governance)</w:t>
      </w:r>
    </w:p>
    <w:p w:rsidR="00890236" w:rsidRPr="00890236" w:rsidRDefault="00890236" w:rsidP="00890236">
      <w:pPr>
        <w:spacing w:after="0" w:line="240" w:lineRule="auto"/>
        <w:jc w:val="both"/>
        <w:rPr>
          <w:lang w:val="en"/>
        </w:rPr>
        <w:sectPr w:rsidR="00890236" w:rsidRPr="00890236" w:rsidSect="00671512">
          <w:headerReference w:type="even" r:id="rId13"/>
          <w:headerReference w:type="default" r:id="rId14"/>
          <w:footerReference w:type="default" r:id="rId15"/>
          <w:headerReference w:type="first" r:id="rId16"/>
          <w:type w:val="continuous"/>
          <w:pgSz w:w="11906" w:h="16838"/>
          <w:pgMar w:top="1440" w:right="1440" w:bottom="1440" w:left="1440" w:header="708" w:footer="708" w:gutter="0"/>
          <w:pgNumType w:start="0"/>
          <w:cols w:space="708"/>
          <w:docGrid w:linePitch="360"/>
        </w:sectPr>
      </w:pPr>
    </w:p>
    <w:p w:rsidR="00AE2ED6" w:rsidRDefault="00AE2ED6" w:rsidP="009C2EDD">
      <w:pPr>
        <w:pStyle w:val="HeadingOne"/>
        <w:spacing w:after="0" w:line="240" w:lineRule="auto"/>
        <w:ind w:left="567" w:hanging="567"/>
        <w:jc w:val="both"/>
      </w:pPr>
      <w:bookmarkStart w:id="2" w:name="_Toc436320296"/>
      <w:r w:rsidRPr="00F354D8">
        <w:lastRenderedPageBreak/>
        <w:t>What is money laundering?</w:t>
      </w:r>
      <w:bookmarkEnd w:id="2"/>
    </w:p>
    <w:p w:rsidR="00890236" w:rsidRPr="00F354D8" w:rsidRDefault="00890236" w:rsidP="00890236">
      <w:pPr>
        <w:pStyle w:val="HeadingOne"/>
        <w:numPr>
          <w:ilvl w:val="0"/>
          <w:numId w:val="0"/>
        </w:numPr>
        <w:spacing w:after="0" w:line="240" w:lineRule="auto"/>
        <w:ind w:left="567"/>
        <w:jc w:val="both"/>
      </w:pPr>
    </w:p>
    <w:p w:rsidR="008971EC" w:rsidRPr="00F354D8" w:rsidRDefault="00432889" w:rsidP="009C2EDD">
      <w:pPr>
        <w:spacing w:after="0" w:line="240" w:lineRule="auto"/>
        <w:jc w:val="both"/>
        <w:rPr>
          <w:lang w:val="en"/>
        </w:rPr>
      </w:pPr>
      <w:r w:rsidRPr="00F354D8">
        <w:rPr>
          <w:lang w:val="en"/>
        </w:rPr>
        <w:t xml:space="preserve">Money laundering </w:t>
      </w:r>
      <w:r w:rsidR="00A369C5" w:rsidRPr="00F354D8">
        <w:rPr>
          <w:lang w:val="en"/>
        </w:rPr>
        <w:t>covers</w:t>
      </w:r>
      <w:r w:rsidR="00BA4B34" w:rsidRPr="00F354D8">
        <w:rPr>
          <w:lang w:val="en"/>
        </w:rPr>
        <w:t xml:space="preserve"> a</w:t>
      </w:r>
      <w:r w:rsidR="00A369C5" w:rsidRPr="00F354D8">
        <w:rPr>
          <w:lang w:val="en"/>
        </w:rPr>
        <w:t xml:space="preserve"> </w:t>
      </w:r>
      <w:r w:rsidR="00276D08" w:rsidRPr="00F354D8">
        <w:rPr>
          <w:lang w:val="en"/>
        </w:rPr>
        <w:t xml:space="preserve">wide variety </w:t>
      </w:r>
      <w:r w:rsidR="008971EC" w:rsidRPr="00F354D8">
        <w:rPr>
          <w:lang w:val="en"/>
        </w:rPr>
        <w:t xml:space="preserve">of </w:t>
      </w:r>
      <w:r w:rsidR="00276D08" w:rsidRPr="00F354D8">
        <w:rPr>
          <w:lang w:val="en"/>
        </w:rPr>
        <w:t>offences</w:t>
      </w:r>
      <w:r w:rsidRPr="00F354D8">
        <w:rPr>
          <w:lang w:val="en"/>
        </w:rPr>
        <w:t xml:space="preserve"> involving the proceeds of crime or terrorist funds. </w:t>
      </w:r>
    </w:p>
    <w:p w:rsidR="008971EC" w:rsidRPr="00F354D8" w:rsidRDefault="008971EC" w:rsidP="009C2EDD">
      <w:pPr>
        <w:spacing w:after="0" w:line="240" w:lineRule="auto"/>
        <w:jc w:val="both"/>
        <w:rPr>
          <w:lang w:val="en"/>
        </w:rPr>
      </w:pPr>
    </w:p>
    <w:p w:rsidR="00BB27F1" w:rsidRPr="00F354D8" w:rsidRDefault="00BA4B34" w:rsidP="009C2EDD">
      <w:pPr>
        <w:spacing w:after="0" w:line="240" w:lineRule="auto"/>
        <w:jc w:val="both"/>
        <w:rPr>
          <w:lang w:val="en"/>
        </w:rPr>
      </w:pPr>
      <w:r w:rsidRPr="00F354D8">
        <w:rPr>
          <w:lang w:val="en"/>
        </w:rPr>
        <w:t xml:space="preserve">It </w:t>
      </w:r>
      <w:r w:rsidR="005C5561" w:rsidRPr="00F354D8">
        <w:rPr>
          <w:lang w:val="en"/>
        </w:rPr>
        <w:t>is the process by which criminally obtained propert</w:t>
      </w:r>
      <w:r w:rsidR="002F7800" w:rsidRPr="00F354D8">
        <w:rPr>
          <w:lang w:val="en"/>
        </w:rPr>
        <w:t xml:space="preserve">ies </w:t>
      </w:r>
      <w:r w:rsidR="005C5561" w:rsidRPr="00F354D8">
        <w:rPr>
          <w:lang w:val="en"/>
        </w:rPr>
        <w:t xml:space="preserve">are exchanged for ‘clean’ money or other assets with no obvious links to their criminal origins. </w:t>
      </w:r>
      <w:r w:rsidR="00A369C5" w:rsidRPr="00F354D8">
        <w:rPr>
          <w:lang w:val="en"/>
        </w:rPr>
        <w:t xml:space="preserve">Criminal property may take any form, including money or money’s worth, securities, tangible property and intangible property. </w:t>
      </w:r>
      <w:r w:rsidR="00584762" w:rsidRPr="00F354D8">
        <w:rPr>
          <w:lang w:val="en"/>
        </w:rPr>
        <w:t xml:space="preserve">For criminal property to </w:t>
      </w:r>
      <w:r w:rsidR="00190AEB" w:rsidRPr="00F354D8">
        <w:rPr>
          <w:lang w:val="en"/>
        </w:rPr>
        <w:t>exist</w:t>
      </w:r>
      <w:r w:rsidR="00584762" w:rsidRPr="00F354D8">
        <w:rPr>
          <w:lang w:val="en"/>
        </w:rPr>
        <w:t xml:space="preserve"> there must be an element of criminal </w:t>
      </w:r>
      <w:r w:rsidRPr="00F354D8">
        <w:rPr>
          <w:lang w:val="en"/>
        </w:rPr>
        <w:t>activity</w:t>
      </w:r>
      <w:r w:rsidR="00B565E0" w:rsidRPr="00F354D8">
        <w:rPr>
          <w:lang w:val="en"/>
        </w:rPr>
        <w:t>,</w:t>
      </w:r>
      <w:r w:rsidR="00584762" w:rsidRPr="00F354D8">
        <w:rPr>
          <w:lang w:val="en"/>
        </w:rPr>
        <w:t xml:space="preserve"> which is defined as </w:t>
      </w:r>
      <w:r w:rsidRPr="00F354D8">
        <w:rPr>
          <w:lang w:val="en"/>
        </w:rPr>
        <w:t>activity</w:t>
      </w:r>
      <w:r w:rsidR="00584762" w:rsidRPr="00F354D8">
        <w:rPr>
          <w:lang w:val="en"/>
        </w:rPr>
        <w:t xml:space="preserve"> </w:t>
      </w:r>
      <w:r w:rsidR="00B565E0" w:rsidRPr="00F354D8">
        <w:rPr>
          <w:lang w:val="en"/>
        </w:rPr>
        <w:t>that</w:t>
      </w:r>
      <w:r w:rsidR="00584762" w:rsidRPr="00F354D8">
        <w:rPr>
          <w:lang w:val="en"/>
        </w:rPr>
        <w:t xml:space="preserve"> constitutes an offence in the UK or would be if it occurred there.</w:t>
      </w:r>
    </w:p>
    <w:p w:rsidR="009C2EDD" w:rsidRPr="00F354D8" w:rsidRDefault="009C2EDD" w:rsidP="009C2EDD">
      <w:pPr>
        <w:spacing w:after="0" w:line="240" w:lineRule="auto"/>
        <w:jc w:val="both"/>
        <w:rPr>
          <w:lang w:val="en"/>
        </w:rPr>
      </w:pPr>
    </w:p>
    <w:p w:rsidR="00A369C5" w:rsidRPr="00F354D8" w:rsidRDefault="00BB27F1" w:rsidP="009C2EDD">
      <w:pPr>
        <w:spacing w:after="0" w:line="240" w:lineRule="auto"/>
        <w:jc w:val="both"/>
        <w:rPr>
          <w:lang w:val="en"/>
        </w:rPr>
      </w:pPr>
      <w:r w:rsidRPr="00F354D8">
        <w:rPr>
          <w:lang w:val="en"/>
        </w:rPr>
        <w:t>Money laundering a</w:t>
      </w:r>
      <w:r w:rsidR="00A369C5" w:rsidRPr="00F354D8">
        <w:rPr>
          <w:lang w:val="en"/>
        </w:rPr>
        <w:t>lso covers money which is used to fund terrorism.</w:t>
      </w:r>
      <w:r w:rsidRPr="00F354D8">
        <w:rPr>
          <w:lang w:val="en"/>
        </w:rPr>
        <w:t xml:space="preserve"> </w:t>
      </w:r>
    </w:p>
    <w:p w:rsidR="00242D90" w:rsidRPr="00F354D8" w:rsidRDefault="00242D90" w:rsidP="009C2EDD">
      <w:pPr>
        <w:spacing w:after="0" w:line="240" w:lineRule="auto"/>
        <w:jc w:val="both"/>
        <w:rPr>
          <w:b/>
          <w:lang w:val="en"/>
        </w:rPr>
      </w:pPr>
    </w:p>
    <w:p w:rsidR="00276D08" w:rsidRPr="00F354D8" w:rsidRDefault="00276D08" w:rsidP="009C2EDD">
      <w:pPr>
        <w:spacing w:after="0" w:line="240" w:lineRule="auto"/>
        <w:jc w:val="both"/>
        <w:rPr>
          <w:b/>
        </w:rPr>
      </w:pPr>
      <w:r w:rsidRPr="00F354D8">
        <w:rPr>
          <w:b/>
        </w:rPr>
        <w:t>Proceeds of Crime Act 2002</w:t>
      </w:r>
      <w:r w:rsidR="00AC7489" w:rsidRPr="00F354D8">
        <w:rPr>
          <w:b/>
        </w:rPr>
        <w:t xml:space="preserve"> (POCA 2002)</w:t>
      </w:r>
    </w:p>
    <w:p w:rsidR="00276D08" w:rsidRPr="00F354D8" w:rsidRDefault="00276D08" w:rsidP="009C2EDD">
      <w:pPr>
        <w:spacing w:after="0" w:line="240" w:lineRule="auto"/>
        <w:jc w:val="both"/>
        <w:rPr>
          <w:lang w:val="en"/>
        </w:rPr>
      </w:pPr>
      <w:r w:rsidRPr="00F354D8">
        <w:rPr>
          <w:lang w:val="en"/>
        </w:rPr>
        <w:t xml:space="preserve">This statue imposes various obligations on persons if they know about, and participate in, the laundering of the proceeds of criminal activity. </w:t>
      </w:r>
      <w:r w:rsidR="00BB27F1" w:rsidRPr="00F354D8">
        <w:rPr>
          <w:lang w:val="en"/>
        </w:rPr>
        <w:t xml:space="preserve">Within the definition of this </w:t>
      </w:r>
      <w:r w:rsidR="00AC7489" w:rsidRPr="00F354D8">
        <w:rPr>
          <w:lang w:val="en"/>
        </w:rPr>
        <w:t>statute</w:t>
      </w:r>
      <w:r w:rsidR="00BB27F1" w:rsidRPr="00F354D8">
        <w:rPr>
          <w:lang w:val="en"/>
        </w:rPr>
        <w:t xml:space="preserve"> there are three principal offences and two third party offences that apply to the University.</w:t>
      </w:r>
    </w:p>
    <w:p w:rsidR="009C2EDD" w:rsidRPr="00F354D8" w:rsidRDefault="009C2EDD" w:rsidP="009C2EDD">
      <w:pPr>
        <w:spacing w:after="0" w:line="240" w:lineRule="auto"/>
        <w:jc w:val="both"/>
      </w:pPr>
    </w:p>
    <w:p w:rsidR="009C2EDD" w:rsidRPr="00F354D8" w:rsidRDefault="00BB27F1" w:rsidP="009C2EDD">
      <w:pPr>
        <w:spacing w:after="0" w:line="240" w:lineRule="auto"/>
        <w:jc w:val="both"/>
      </w:pPr>
      <w:r w:rsidRPr="00F354D8">
        <w:t>Under the three principal offences, any person commits an offence</w:t>
      </w:r>
      <w:r w:rsidR="00B565E0" w:rsidRPr="00F354D8">
        <w:t xml:space="preserve"> if they:</w:t>
      </w:r>
    </w:p>
    <w:p w:rsidR="00BB27F1" w:rsidRPr="00F354D8" w:rsidRDefault="00B565E0" w:rsidP="009C2EDD">
      <w:pPr>
        <w:pStyle w:val="ListParagraph"/>
        <w:numPr>
          <w:ilvl w:val="0"/>
          <w:numId w:val="34"/>
        </w:numPr>
        <w:spacing w:after="0" w:line="240" w:lineRule="auto"/>
        <w:jc w:val="both"/>
      </w:pPr>
      <w:r w:rsidRPr="00F354D8">
        <w:rPr>
          <w:b/>
        </w:rPr>
        <w:t>C</w:t>
      </w:r>
      <w:r w:rsidR="00BB27F1" w:rsidRPr="00F354D8">
        <w:rPr>
          <w:b/>
        </w:rPr>
        <w:t>onceal, disguise, convert, or transfer</w:t>
      </w:r>
      <w:r w:rsidR="00BB27F1" w:rsidRPr="00F354D8">
        <w:t xml:space="preserve"> criminal property</w:t>
      </w:r>
      <w:r w:rsidR="00AC7489" w:rsidRPr="00F354D8">
        <w:t xml:space="preserve"> (</w:t>
      </w:r>
      <w:r w:rsidR="00890236">
        <w:t xml:space="preserve">Section </w:t>
      </w:r>
      <w:r w:rsidR="00AC7489" w:rsidRPr="00F354D8">
        <w:t>327 POCA 2002)</w:t>
      </w:r>
      <w:r w:rsidR="00E40A1F" w:rsidRPr="00F354D8">
        <w:t>;</w:t>
      </w:r>
    </w:p>
    <w:p w:rsidR="00BB27F1" w:rsidRPr="00F354D8" w:rsidRDefault="00B565E0" w:rsidP="009C2EDD">
      <w:pPr>
        <w:pStyle w:val="ListParagraph"/>
        <w:numPr>
          <w:ilvl w:val="0"/>
          <w:numId w:val="34"/>
        </w:numPr>
        <w:spacing w:after="0" w:line="240" w:lineRule="auto"/>
        <w:jc w:val="both"/>
      </w:pPr>
      <w:r w:rsidRPr="00F354D8">
        <w:t>B</w:t>
      </w:r>
      <w:r w:rsidR="00BB27F1" w:rsidRPr="00F354D8">
        <w:t xml:space="preserve">ecome concerned in an </w:t>
      </w:r>
      <w:r w:rsidR="00BB27F1" w:rsidRPr="00F354D8">
        <w:rPr>
          <w:b/>
        </w:rPr>
        <w:t>arrangement</w:t>
      </w:r>
      <w:r w:rsidR="00BB27F1" w:rsidRPr="00F354D8">
        <w:t xml:space="preserve"> which </w:t>
      </w:r>
      <w:r w:rsidRPr="00F354D8">
        <w:t>they</w:t>
      </w:r>
      <w:r w:rsidR="00BB27F1" w:rsidRPr="00F354D8">
        <w:t xml:space="preserve"> know or suspect facilitates the acquisition, retention, use or control of criminal property</w:t>
      </w:r>
      <w:r w:rsidR="00AC7489" w:rsidRPr="00F354D8">
        <w:t xml:space="preserve"> (</w:t>
      </w:r>
      <w:r w:rsidR="00890236">
        <w:t xml:space="preserve">Section </w:t>
      </w:r>
      <w:r w:rsidR="00AC7489" w:rsidRPr="00F354D8">
        <w:t>328 POCA 2002)</w:t>
      </w:r>
      <w:r w:rsidR="00E40A1F" w:rsidRPr="00F354D8">
        <w:t>;</w:t>
      </w:r>
    </w:p>
    <w:p w:rsidR="00BB27F1" w:rsidRPr="00F354D8" w:rsidRDefault="00B565E0" w:rsidP="009C2EDD">
      <w:pPr>
        <w:pStyle w:val="ListParagraph"/>
        <w:numPr>
          <w:ilvl w:val="0"/>
          <w:numId w:val="34"/>
        </w:numPr>
        <w:spacing w:after="0" w:line="240" w:lineRule="auto"/>
        <w:jc w:val="both"/>
      </w:pPr>
      <w:r w:rsidRPr="00F354D8">
        <w:rPr>
          <w:b/>
        </w:rPr>
        <w:t>A</w:t>
      </w:r>
      <w:r w:rsidR="00BB27F1" w:rsidRPr="00F354D8">
        <w:rPr>
          <w:b/>
        </w:rPr>
        <w:t>cquire</w:t>
      </w:r>
      <w:r w:rsidR="00BB27F1" w:rsidRPr="00F354D8">
        <w:t xml:space="preserve">, </w:t>
      </w:r>
      <w:r w:rsidR="00BB27F1" w:rsidRPr="00F354D8">
        <w:rPr>
          <w:b/>
        </w:rPr>
        <w:t>use</w:t>
      </w:r>
      <w:r w:rsidR="00BB27F1" w:rsidRPr="00F354D8">
        <w:t xml:space="preserve"> or ha</w:t>
      </w:r>
      <w:r w:rsidRPr="00F354D8">
        <w:t>ve</w:t>
      </w:r>
      <w:r w:rsidR="00BB27F1" w:rsidRPr="00F354D8">
        <w:t xml:space="preserve"> </w:t>
      </w:r>
      <w:r w:rsidR="00BB27F1" w:rsidRPr="00F354D8">
        <w:rPr>
          <w:b/>
        </w:rPr>
        <w:t>possession</w:t>
      </w:r>
      <w:r w:rsidR="00BB27F1" w:rsidRPr="00F354D8">
        <w:t xml:space="preserve"> o</w:t>
      </w:r>
      <w:r w:rsidR="00BA4B34" w:rsidRPr="00F354D8">
        <w:t>f</w:t>
      </w:r>
      <w:r w:rsidR="00BB27F1" w:rsidRPr="00F354D8">
        <w:t xml:space="preserve"> criminal property</w:t>
      </w:r>
      <w:r w:rsidR="00AC7489" w:rsidRPr="00F354D8">
        <w:t xml:space="preserve"> (</w:t>
      </w:r>
      <w:r w:rsidR="00890236">
        <w:t xml:space="preserve">Section </w:t>
      </w:r>
      <w:r w:rsidR="00AC7489" w:rsidRPr="00F354D8">
        <w:t>329 POCA 2002)</w:t>
      </w:r>
      <w:r w:rsidR="00BB27F1" w:rsidRPr="00F354D8">
        <w:t>.</w:t>
      </w:r>
    </w:p>
    <w:p w:rsidR="009C2EDD" w:rsidRPr="00F354D8" w:rsidRDefault="009C2EDD" w:rsidP="009C2EDD">
      <w:pPr>
        <w:spacing w:after="0"/>
      </w:pPr>
    </w:p>
    <w:p w:rsidR="005C5561" w:rsidRPr="00F354D8" w:rsidRDefault="00B565E0" w:rsidP="009C2EDD">
      <w:pPr>
        <w:spacing w:after="0" w:line="240" w:lineRule="auto"/>
      </w:pPr>
      <w:r w:rsidRPr="00F354D8">
        <w:t>A person commits a third party offence if they</w:t>
      </w:r>
      <w:r w:rsidR="005C5561" w:rsidRPr="00F354D8">
        <w:t>:</w:t>
      </w:r>
    </w:p>
    <w:p w:rsidR="0028738C" w:rsidRPr="00F354D8" w:rsidRDefault="005C5561" w:rsidP="009C2EDD">
      <w:pPr>
        <w:pStyle w:val="ListParagraph"/>
        <w:numPr>
          <w:ilvl w:val="0"/>
          <w:numId w:val="29"/>
        </w:numPr>
        <w:spacing w:after="0" w:line="240" w:lineRule="auto"/>
        <w:jc w:val="both"/>
        <w:rPr>
          <w:b/>
        </w:rPr>
      </w:pPr>
      <w:r w:rsidRPr="00F354D8">
        <w:rPr>
          <w:b/>
        </w:rPr>
        <w:t>Fail to disclose</w:t>
      </w:r>
      <w:r w:rsidRPr="00F354D8">
        <w:t xml:space="preserve"> </w:t>
      </w:r>
      <w:r w:rsidR="00B565E0" w:rsidRPr="00F354D8">
        <w:t>if they</w:t>
      </w:r>
      <w:r w:rsidR="00AC7489" w:rsidRPr="00F354D8">
        <w:t xml:space="preserve"> know,</w:t>
      </w:r>
      <w:r w:rsidR="0004790B" w:rsidRPr="00F354D8">
        <w:t xml:space="preserve"> or suspect</w:t>
      </w:r>
      <w:r w:rsidR="00AC7489" w:rsidRPr="00F354D8">
        <w:t>, or ha</w:t>
      </w:r>
      <w:r w:rsidR="00B565E0" w:rsidRPr="00F354D8">
        <w:t>ve</w:t>
      </w:r>
      <w:r w:rsidR="00AC7489" w:rsidRPr="00F354D8">
        <w:t xml:space="preserve"> reasonable ground for knowing or suspecting </w:t>
      </w:r>
      <w:r w:rsidR="0004790B" w:rsidRPr="00F354D8">
        <w:t xml:space="preserve">money </w:t>
      </w:r>
      <w:r w:rsidR="00AC7489" w:rsidRPr="00F354D8">
        <w:t xml:space="preserve">that another person is </w:t>
      </w:r>
      <w:r w:rsidR="0028738C" w:rsidRPr="00F354D8">
        <w:t>engaged in one of the three principal offences but fails to disclose this to the relevant officer or National Crime Agency (as applicable).</w:t>
      </w:r>
    </w:p>
    <w:p w:rsidR="005C5561" w:rsidRPr="00F354D8" w:rsidRDefault="005C5561" w:rsidP="009C2EDD">
      <w:pPr>
        <w:pStyle w:val="ListParagraph"/>
        <w:numPr>
          <w:ilvl w:val="0"/>
          <w:numId w:val="29"/>
        </w:numPr>
        <w:spacing w:after="0" w:line="240" w:lineRule="auto"/>
        <w:jc w:val="both"/>
        <w:rPr>
          <w:b/>
        </w:rPr>
      </w:pPr>
      <w:r w:rsidRPr="00F354D8">
        <w:rPr>
          <w:b/>
        </w:rPr>
        <w:t>Tip</w:t>
      </w:r>
      <w:r w:rsidR="00B565E0" w:rsidRPr="00F354D8">
        <w:rPr>
          <w:b/>
        </w:rPr>
        <w:t xml:space="preserve"> </w:t>
      </w:r>
      <w:r w:rsidRPr="00F354D8">
        <w:rPr>
          <w:b/>
        </w:rPr>
        <w:t>off</w:t>
      </w:r>
      <w:r w:rsidR="00B565E0" w:rsidRPr="00F354D8">
        <w:rPr>
          <w:b/>
        </w:rPr>
        <w:t>,</w:t>
      </w:r>
      <w:r w:rsidRPr="00F354D8">
        <w:t xml:space="preserve"> </w:t>
      </w:r>
      <w:r w:rsidR="00B565E0" w:rsidRPr="00F354D8">
        <w:t>by</w:t>
      </w:r>
      <w:r w:rsidR="0028738C" w:rsidRPr="00F354D8">
        <w:t xml:space="preserve"> inform</w:t>
      </w:r>
      <w:r w:rsidR="00B565E0" w:rsidRPr="00F354D8">
        <w:t>ing</w:t>
      </w:r>
      <w:r w:rsidR="0028738C" w:rsidRPr="00F354D8">
        <w:t xml:space="preserve"> a person(s) </w:t>
      </w:r>
      <w:r w:rsidRPr="00F354D8">
        <w:t xml:space="preserve">who are, or are suspected of being, involved in money laundering, in such a way as to reduce the likelihood of </w:t>
      </w:r>
      <w:r w:rsidR="007F715C" w:rsidRPr="00F354D8">
        <w:t xml:space="preserve">them </w:t>
      </w:r>
      <w:r w:rsidRPr="00F354D8">
        <w:t>being investigated, or prejudicing an investigation.</w:t>
      </w:r>
    </w:p>
    <w:p w:rsidR="009C2EDD" w:rsidRPr="00F354D8" w:rsidRDefault="009C2EDD" w:rsidP="008971EC">
      <w:pPr>
        <w:pStyle w:val="ListParagraph"/>
        <w:spacing w:after="0" w:line="240" w:lineRule="auto"/>
        <w:jc w:val="both"/>
        <w:rPr>
          <w:b/>
        </w:rPr>
      </w:pPr>
    </w:p>
    <w:p w:rsidR="0028738C" w:rsidRPr="00F354D8" w:rsidRDefault="0028738C" w:rsidP="009C2EDD">
      <w:pPr>
        <w:spacing w:after="0" w:line="240" w:lineRule="auto"/>
        <w:jc w:val="both"/>
        <w:rPr>
          <w:b/>
        </w:rPr>
      </w:pPr>
      <w:r w:rsidRPr="00F354D8">
        <w:rPr>
          <w:b/>
        </w:rPr>
        <w:t>Terrorism Act 2000</w:t>
      </w:r>
    </w:p>
    <w:p w:rsidR="0028738C" w:rsidRPr="00F354D8" w:rsidRDefault="0028738C" w:rsidP="009C2EDD">
      <w:pPr>
        <w:spacing w:after="0" w:line="240" w:lineRule="auto"/>
        <w:jc w:val="both"/>
      </w:pPr>
      <w:r w:rsidRPr="00F354D8">
        <w:t>Offences under this statute relate to terrorist property, which is money or property to be used for terrorism or arises out of terrorism.</w:t>
      </w:r>
    </w:p>
    <w:p w:rsidR="009C2EDD" w:rsidRDefault="009C2EDD" w:rsidP="009C2EDD">
      <w:pPr>
        <w:spacing w:after="0" w:line="240" w:lineRule="auto"/>
        <w:jc w:val="both"/>
      </w:pPr>
    </w:p>
    <w:p w:rsidR="003624E5" w:rsidRPr="00F354D8" w:rsidRDefault="00671512" w:rsidP="009C2EDD">
      <w:pPr>
        <w:pStyle w:val="HeadingOne"/>
        <w:spacing w:after="0" w:line="240" w:lineRule="auto"/>
        <w:ind w:left="567" w:hanging="567"/>
        <w:jc w:val="both"/>
      </w:pPr>
      <w:bookmarkStart w:id="3" w:name="_Toc436320297"/>
      <w:r w:rsidRPr="00F354D8">
        <w:t>University responsibilities</w:t>
      </w:r>
      <w:bookmarkEnd w:id="3"/>
    </w:p>
    <w:p w:rsidR="00671512" w:rsidRPr="00F354D8" w:rsidRDefault="00AD3A0A" w:rsidP="009C2EDD">
      <w:pPr>
        <w:spacing w:after="0" w:line="240" w:lineRule="auto"/>
        <w:jc w:val="both"/>
      </w:pPr>
      <w:r w:rsidRPr="00F354D8">
        <w:t>The University has a responsibility to:</w:t>
      </w:r>
    </w:p>
    <w:p w:rsidR="00AD3A0A" w:rsidRPr="00F354D8" w:rsidRDefault="00AD3A0A" w:rsidP="009C2EDD">
      <w:pPr>
        <w:pStyle w:val="ListParagraph"/>
        <w:numPr>
          <w:ilvl w:val="0"/>
          <w:numId w:val="13"/>
        </w:numPr>
        <w:spacing w:after="0" w:line="240" w:lineRule="auto"/>
        <w:jc w:val="both"/>
      </w:pPr>
      <w:r w:rsidRPr="00F354D8">
        <w:t xml:space="preserve">Appoint a Money Laundering </w:t>
      </w:r>
      <w:r w:rsidR="00553FCF" w:rsidRPr="00F354D8">
        <w:t>Nominated</w:t>
      </w:r>
      <w:r w:rsidRPr="00F354D8">
        <w:t xml:space="preserve"> Officer (</w:t>
      </w:r>
      <w:r w:rsidR="006B2560" w:rsidRPr="00F354D8">
        <w:t>ML</w:t>
      </w:r>
      <w:r w:rsidR="00553FCF" w:rsidRPr="00F354D8">
        <w:t>N</w:t>
      </w:r>
      <w:r w:rsidR="006B2560" w:rsidRPr="00F354D8">
        <w:t>O</w:t>
      </w:r>
      <w:r w:rsidRPr="00F354D8">
        <w:t>) to receive, consider and report as appropriate, disclosure of suspicious</w:t>
      </w:r>
      <w:r w:rsidR="00E40A1F" w:rsidRPr="00F354D8">
        <w:t xml:space="preserve"> activity reported by employees;</w:t>
      </w:r>
    </w:p>
    <w:p w:rsidR="00AD3A0A" w:rsidRPr="00F354D8" w:rsidRDefault="00AD3A0A" w:rsidP="009C2EDD">
      <w:pPr>
        <w:pStyle w:val="ListParagraph"/>
        <w:numPr>
          <w:ilvl w:val="0"/>
          <w:numId w:val="13"/>
        </w:numPr>
        <w:spacing w:after="0" w:line="240" w:lineRule="auto"/>
        <w:jc w:val="both"/>
      </w:pPr>
      <w:r w:rsidRPr="00F354D8">
        <w:t>Implement a procedure to enable the reporting of suspicious activity</w:t>
      </w:r>
      <w:r w:rsidR="00E40A1F" w:rsidRPr="00F354D8">
        <w:t>;</w:t>
      </w:r>
    </w:p>
    <w:p w:rsidR="00AD3A0A" w:rsidRPr="00F354D8" w:rsidRDefault="00AD3A0A" w:rsidP="009C2EDD">
      <w:pPr>
        <w:pStyle w:val="ListParagraph"/>
        <w:numPr>
          <w:ilvl w:val="0"/>
          <w:numId w:val="13"/>
        </w:numPr>
        <w:spacing w:after="0" w:line="240" w:lineRule="auto"/>
        <w:jc w:val="both"/>
      </w:pPr>
      <w:r w:rsidRPr="00F354D8">
        <w:t>Maintain customer identification procedures</w:t>
      </w:r>
      <w:r w:rsidR="00D9064C" w:rsidRPr="00F354D8">
        <w:t xml:space="preserve"> (</w:t>
      </w:r>
      <w:r w:rsidR="006B2560" w:rsidRPr="00F354D8">
        <w:t>“</w:t>
      </w:r>
      <w:r w:rsidR="00D9064C" w:rsidRPr="00F354D8">
        <w:t>know your customer</w:t>
      </w:r>
      <w:r w:rsidR="00242D90" w:rsidRPr="00F354D8">
        <w:t xml:space="preserve"> (KYC)</w:t>
      </w:r>
      <w:r w:rsidR="006B2560" w:rsidRPr="00F354D8">
        <w:t>”</w:t>
      </w:r>
      <w:r w:rsidR="00E40A1F" w:rsidRPr="00F354D8">
        <w:t>);</w:t>
      </w:r>
      <w:r w:rsidR="00D9064C" w:rsidRPr="00F354D8">
        <w:t xml:space="preserve"> </w:t>
      </w:r>
    </w:p>
    <w:p w:rsidR="00D9064C" w:rsidRPr="00F354D8" w:rsidRDefault="00D9064C" w:rsidP="009C2EDD">
      <w:pPr>
        <w:pStyle w:val="ListParagraph"/>
        <w:numPr>
          <w:ilvl w:val="0"/>
          <w:numId w:val="13"/>
        </w:numPr>
        <w:spacing w:after="0" w:line="240" w:lineRule="auto"/>
        <w:jc w:val="both"/>
      </w:pPr>
      <w:r w:rsidRPr="00F354D8">
        <w:t>Maintain a</w:t>
      </w:r>
      <w:r w:rsidR="0028738C" w:rsidRPr="00F354D8">
        <w:t xml:space="preserve">dequate records of </w:t>
      </w:r>
      <w:r w:rsidR="00E40A1F" w:rsidRPr="00F354D8">
        <w:t>transactions;</w:t>
      </w:r>
    </w:p>
    <w:p w:rsidR="0028738C" w:rsidRPr="00F354D8" w:rsidRDefault="00242D90" w:rsidP="009C2EDD">
      <w:pPr>
        <w:pStyle w:val="ListParagraph"/>
        <w:numPr>
          <w:ilvl w:val="0"/>
          <w:numId w:val="13"/>
        </w:numPr>
        <w:spacing w:after="0" w:line="240" w:lineRule="auto"/>
        <w:jc w:val="both"/>
      </w:pPr>
      <w:r w:rsidRPr="00F354D8">
        <w:t>Publish and communicate this Policy to all employees.</w:t>
      </w:r>
    </w:p>
    <w:p w:rsidR="009C2EDD" w:rsidRDefault="009C2EDD" w:rsidP="009C2EDD">
      <w:pPr>
        <w:pStyle w:val="ListParagraph"/>
        <w:spacing w:after="0" w:line="240" w:lineRule="auto"/>
        <w:jc w:val="both"/>
      </w:pPr>
    </w:p>
    <w:p w:rsidR="00671512" w:rsidRPr="00F354D8" w:rsidRDefault="00671512" w:rsidP="009C2EDD">
      <w:pPr>
        <w:pStyle w:val="HeadingOne"/>
        <w:spacing w:after="0" w:line="240" w:lineRule="auto"/>
        <w:ind w:left="567" w:hanging="567"/>
        <w:jc w:val="both"/>
      </w:pPr>
      <w:bookmarkStart w:id="4" w:name="_Toc436320298"/>
      <w:r w:rsidRPr="00F354D8">
        <w:t>Employee responsibilities</w:t>
      </w:r>
      <w:bookmarkEnd w:id="4"/>
    </w:p>
    <w:p w:rsidR="0081002A" w:rsidRPr="00F354D8" w:rsidRDefault="00D9064C" w:rsidP="009C2EDD">
      <w:pPr>
        <w:spacing w:after="0" w:line="240" w:lineRule="auto"/>
        <w:jc w:val="both"/>
      </w:pPr>
      <w:r w:rsidRPr="00F354D8">
        <w:t xml:space="preserve">Money laundering legislation applies to </w:t>
      </w:r>
      <w:r w:rsidRPr="00F354D8">
        <w:rPr>
          <w:b/>
        </w:rPr>
        <w:t>ALL</w:t>
      </w:r>
      <w:r w:rsidRPr="00F354D8">
        <w:t xml:space="preserve"> employees</w:t>
      </w:r>
      <w:r w:rsidR="00516719" w:rsidRPr="00F354D8">
        <w:t xml:space="preserve"> and members of Court</w:t>
      </w:r>
      <w:r w:rsidRPr="00F354D8">
        <w:t>.  Potentially any member of staff could be committing an offence under the money laundering laws if they suspect money laundering or if they become involved in some way and do nothing about it.  If any individual suspects that money laundering activity is, or has, taken place or if any person becomes concerned about their involvement it must be disclos</w:t>
      </w:r>
      <w:r w:rsidR="006B2560" w:rsidRPr="00F354D8">
        <w:t xml:space="preserve">ed as soon as possible to the </w:t>
      </w:r>
      <w:r w:rsidR="007E5178" w:rsidRPr="00F354D8">
        <w:t>ML</w:t>
      </w:r>
      <w:r w:rsidR="00553FCF" w:rsidRPr="00F354D8">
        <w:t>N</w:t>
      </w:r>
      <w:r w:rsidR="007E5178" w:rsidRPr="00F354D8">
        <w:t>O</w:t>
      </w:r>
      <w:r w:rsidRPr="00F354D8">
        <w:t>.</w:t>
      </w:r>
    </w:p>
    <w:p w:rsidR="00847150" w:rsidRDefault="00847150" w:rsidP="009C2EDD">
      <w:pPr>
        <w:spacing w:after="0" w:line="240" w:lineRule="auto"/>
        <w:jc w:val="both"/>
        <w:sectPr w:rsidR="00847150" w:rsidSect="00847150">
          <w:headerReference w:type="default" r:id="rId17"/>
          <w:pgSz w:w="11906" w:h="16838"/>
          <w:pgMar w:top="1440" w:right="1440" w:bottom="1440" w:left="1440" w:header="708" w:footer="708" w:gutter="0"/>
          <w:pgNumType w:start="0"/>
          <w:cols w:space="708"/>
          <w:docGrid w:linePitch="360"/>
        </w:sectPr>
      </w:pPr>
    </w:p>
    <w:p w:rsidR="00D9064C" w:rsidRPr="00F354D8" w:rsidRDefault="00D9064C" w:rsidP="009C2EDD">
      <w:pPr>
        <w:spacing w:after="0" w:line="240" w:lineRule="auto"/>
        <w:jc w:val="both"/>
      </w:pPr>
      <w:r w:rsidRPr="00F354D8">
        <w:rPr>
          <w:b/>
        </w:rPr>
        <w:lastRenderedPageBreak/>
        <w:t>Failure to do so may result in you being personally liable to prosecution.</w:t>
      </w:r>
      <w:r w:rsidR="00516719" w:rsidRPr="00F354D8">
        <w:rPr>
          <w:b/>
        </w:rPr>
        <w:t xml:space="preserve"> </w:t>
      </w:r>
      <w:r w:rsidRPr="00F354D8">
        <w:t xml:space="preserve">Guidance on how to raise any concerns is included in this </w:t>
      </w:r>
      <w:r w:rsidR="00A474AB" w:rsidRPr="00F354D8">
        <w:t>document</w:t>
      </w:r>
      <w:r w:rsidR="004A23C5" w:rsidRPr="00F354D8">
        <w:t xml:space="preserve"> (Section </w:t>
      </w:r>
      <w:r w:rsidR="007E5178" w:rsidRPr="00F354D8">
        <w:t>10</w:t>
      </w:r>
      <w:r w:rsidR="004A23C5" w:rsidRPr="00F354D8">
        <w:t>).</w:t>
      </w:r>
    </w:p>
    <w:p w:rsidR="009C2EDD" w:rsidRDefault="009C2EDD" w:rsidP="009C2EDD">
      <w:pPr>
        <w:spacing w:after="0" w:line="240" w:lineRule="auto"/>
        <w:jc w:val="both"/>
      </w:pPr>
    </w:p>
    <w:p w:rsidR="007E5178" w:rsidRPr="00F354D8" w:rsidRDefault="007E5178" w:rsidP="009C2EDD">
      <w:pPr>
        <w:pStyle w:val="HeadingOne"/>
        <w:spacing w:after="0" w:line="240" w:lineRule="auto"/>
        <w:ind w:left="567" w:hanging="567"/>
        <w:jc w:val="both"/>
      </w:pPr>
      <w:r w:rsidRPr="00F354D8">
        <w:t>‘Know your customer’</w:t>
      </w:r>
    </w:p>
    <w:p w:rsidR="007E5178" w:rsidRPr="00F354D8" w:rsidRDefault="007E5178" w:rsidP="009C2EDD">
      <w:pPr>
        <w:pStyle w:val="HeadingOne"/>
        <w:numPr>
          <w:ilvl w:val="0"/>
          <w:numId w:val="0"/>
        </w:numPr>
        <w:spacing w:after="0" w:line="240" w:lineRule="auto"/>
        <w:jc w:val="both"/>
        <w:rPr>
          <w:b w:val="0"/>
        </w:rPr>
      </w:pPr>
      <w:r w:rsidRPr="00F354D8">
        <w:rPr>
          <w:b w:val="0"/>
        </w:rPr>
        <w:t>It is important that controls are in place to undertake customer due diligence i.e. steps to identify the student, customer or other party dealing with the University. Satisfactory evidence of identity must be verified.</w:t>
      </w:r>
    </w:p>
    <w:p w:rsidR="007E5178" w:rsidRPr="00F354D8" w:rsidRDefault="007E5178" w:rsidP="009C2EDD">
      <w:pPr>
        <w:pStyle w:val="HeadingOne"/>
        <w:numPr>
          <w:ilvl w:val="0"/>
          <w:numId w:val="0"/>
        </w:numPr>
        <w:spacing w:after="0" w:line="240" w:lineRule="auto"/>
        <w:jc w:val="both"/>
        <w:rPr>
          <w:b w:val="0"/>
        </w:rPr>
      </w:pPr>
    </w:p>
    <w:p w:rsidR="007E5178" w:rsidRPr="00F354D8" w:rsidRDefault="007E5178" w:rsidP="009C2EDD">
      <w:pPr>
        <w:pStyle w:val="HeadingOne"/>
        <w:numPr>
          <w:ilvl w:val="0"/>
          <w:numId w:val="0"/>
        </w:numPr>
        <w:spacing w:after="0" w:line="240" w:lineRule="auto"/>
        <w:jc w:val="both"/>
        <w:rPr>
          <w:b w:val="0"/>
        </w:rPr>
      </w:pPr>
      <w:r w:rsidRPr="00F354D8">
        <w:rPr>
          <w:b w:val="0"/>
        </w:rPr>
        <w:t xml:space="preserve">For students on Campus, </w:t>
      </w:r>
      <w:r w:rsidR="005450EE" w:rsidRPr="00F354D8">
        <w:rPr>
          <w:b w:val="0"/>
        </w:rPr>
        <w:t>verification checks prior to issuing a student ID card include:</w:t>
      </w:r>
    </w:p>
    <w:p w:rsidR="007E5178" w:rsidRPr="00F354D8" w:rsidRDefault="005450EE" w:rsidP="009C2EDD">
      <w:pPr>
        <w:pStyle w:val="HeadingOne"/>
        <w:numPr>
          <w:ilvl w:val="0"/>
          <w:numId w:val="35"/>
        </w:numPr>
        <w:spacing w:after="0" w:line="240" w:lineRule="auto"/>
        <w:jc w:val="both"/>
        <w:rPr>
          <w:b w:val="0"/>
        </w:rPr>
      </w:pPr>
      <w:r w:rsidRPr="00F354D8">
        <w:rPr>
          <w:b w:val="0"/>
        </w:rPr>
        <w:t xml:space="preserve">UK student – </w:t>
      </w:r>
      <w:r w:rsidR="00B565E0" w:rsidRPr="00F354D8">
        <w:rPr>
          <w:b w:val="0"/>
        </w:rPr>
        <w:t xml:space="preserve">review of a </w:t>
      </w:r>
      <w:r w:rsidRPr="00F354D8">
        <w:rPr>
          <w:b w:val="0"/>
        </w:rPr>
        <w:t>Passport or UK photo ID</w:t>
      </w:r>
    </w:p>
    <w:p w:rsidR="005450EE" w:rsidRPr="00F354D8" w:rsidRDefault="005450EE" w:rsidP="009C2EDD">
      <w:pPr>
        <w:pStyle w:val="HeadingOne"/>
        <w:numPr>
          <w:ilvl w:val="0"/>
          <w:numId w:val="35"/>
        </w:numPr>
        <w:spacing w:after="0" w:line="240" w:lineRule="auto"/>
        <w:jc w:val="both"/>
        <w:rPr>
          <w:b w:val="0"/>
        </w:rPr>
      </w:pPr>
      <w:r w:rsidRPr="00F354D8">
        <w:rPr>
          <w:b w:val="0"/>
        </w:rPr>
        <w:t xml:space="preserve">EU student – </w:t>
      </w:r>
      <w:r w:rsidR="00B565E0" w:rsidRPr="00F354D8">
        <w:rPr>
          <w:b w:val="0"/>
        </w:rPr>
        <w:t xml:space="preserve">review of a </w:t>
      </w:r>
      <w:r w:rsidRPr="00F354D8">
        <w:rPr>
          <w:b w:val="0"/>
        </w:rPr>
        <w:t>Passport or EU Identity card</w:t>
      </w:r>
    </w:p>
    <w:p w:rsidR="005450EE" w:rsidRPr="00F354D8" w:rsidRDefault="005450EE" w:rsidP="009C2EDD">
      <w:pPr>
        <w:pStyle w:val="HeadingOne"/>
        <w:numPr>
          <w:ilvl w:val="0"/>
          <w:numId w:val="35"/>
        </w:numPr>
        <w:spacing w:after="0" w:line="240" w:lineRule="auto"/>
        <w:jc w:val="both"/>
        <w:rPr>
          <w:b w:val="0"/>
        </w:rPr>
      </w:pPr>
      <w:r w:rsidRPr="00F354D8">
        <w:rPr>
          <w:b w:val="0"/>
        </w:rPr>
        <w:t xml:space="preserve">International students – </w:t>
      </w:r>
      <w:r w:rsidR="00B565E0" w:rsidRPr="00F354D8">
        <w:rPr>
          <w:b w:val="0"/>
        </w:rPr>
        <w:t xml:space="preserve">review of a </w:t>
      </w:r>
      <w:r w:rsidRPr="00F354D8">
        <w:rPr>
          <w:b w:val="0"/>
        </w:rPr>
        <w:t>Passport or Visa</w:t>
      </w:r>
    </w:p>
    <w:p w:rsidR="007073F5" w:rsidRPr="00F354D8" w:rsidRDefault="007073F5" w:rsidP="009C2EDD">
      <w:pPr>
        <w:pStyle w:val="HeadingOne"/>
        <w:numPr>
          <w:ilvl w:val="0"/>
          <w:numId w:val="0"/>
        </w:numPr>
        <w:spacing w:after="0" w:line="240" w:lineRule="auto"/>
        <w:jc w:val="both"/>
        <w:rPr>
          <w:b w:val="0"/>
        </w:rPr>
      </w:pPr>
    </w:p>
    <w:p w:rsidR="005450EE" w:rsidRPr="00F354D8" w:rsidRDefault="005450EE" w:rsidP="009C2EDD">
      <w:pPr>
        <w:pStyle w:val="HeadingOne"/>
        <w:numPr>
          <w:ilvl w:val="0"/>
          <w:numId w:val="0"/>
        </w:numPr>
        <w:spacing w:after="0" w:line="240" w:lineRule="auto"/>
        <w:jc w:val="both"/>
        <w:rPr>
          <w:b w:val="0"/>
        </w:rPr>
      </w:pPr>
      <w:r w:rsidRPr="00F354D8">
        <w:rPr>
          <w:b w:val="0"/>
        </w:rPr>
        <w:t>For distance learner:</w:t>
      </w:r>
    </w:p>
    <w:p w:rsidR="005450EE" w:rsidRPr="00F354D8" w:rsidRDefault="008971EC" w:rsidP="009C2EDD">
      <w:pPr>
        <w:pStyle w:val="HeadingOne"/>
        <w:numPr>
          <w:ilvl w:val="0"/>
          <w:numId w:val="36"/>
        </w:numPr>
        <w:spacing w:after="0" w:line="240" w:lineRule="auto"/>
        <w:jc w:val="both"/>
        <w:rPr>
          <w:b w:val="0"/>
        </w:rPr>
      </w:pPr>
      <w:r w:rsidRPr="00F354D8">
        <w:rPr>
          <w:b w:val="0"/>
        </w:rPr>
        <w:t>C</w:t>
      </w:r>
      <w:r w:rsidR="005450EE" w:rsidRPr="00F354D8">
        <w:rPr>
          <w:b w:val="0"/>
        </w:rPr>
        <w:t>orrespondence will be with the student at their home address</w:t>
      </w:r>
    </w:p>
    <w:p w:rsidR="008971EC" w:rsidRPr="00F354D8" w:rsidRDefault="008971EC" w:rsidP="008971EC">
      <w:pPr>
        <w:pStyle w:val="HeadingOne"/>
        <w:numPr>
          <w:ilvl w:val="0"/>
          <w:numId w:val="0"/>
        </w:numPr>
        <w:spacing w:after="0" w:line="240" w:lineRule="auto"/>
        <w:ind w:left="770"/>
        <w:jc w:val="both"/>
        <w:rPr>
          <w:b w:val="0"/>
        </w:rPr>
      </w:pPr>
    </w:p>
    <w:p w:rsidR="005450EE" w:rsidRPr="00F354D8" w:rsidRDefault="005450EE" w:rsidP="009C2EDD">
      <w:pPr>
        <w:pStyle w:val="HeadingOne"/>
        <w:numPr>
          <w:ilvl w:val="0"/>
          <w:numId w:val="0"/>
        </w:numPr>
        <w:spacing w:after="0" w:line="240" w:lineRule="auto"/>
        <w:jc w:val="both"/>
        <w:rPr>
          <w:b w:val="0"/>
        </w:rPr>
      </w:pPr>
      <w:r w:rsidRPr="00F354D8">
        <w:rPr>
          <w:b w:val="0"/>
        </w:rPr>
        <w:t>For sponsors:</w:t>
      </w:r>
    </w:p>
    <w:p w:rsidR="005450EE" w:rsidRPr="00F354D8" w:rsidRDefault="005450EE" w:rsidP="009C2EDD">
      <w:pPr>
        <w:pStyle w:val="HeadingOne"/>
        <w:numPr>
          <w:ilvl w:val="0"/>
          <w:numId w:val="36"/>
        </w:numPr>
        <w:spacing w:after="0" w:line="240" w:lineRule="auto"/>
        <w:jc w:val="both"/>
        <w:rPr>
          <w:b w:val="0"/>
        </w:rPr>
      </w:pPr>
      <w:r w:rsidRPr="00F354D8">
        <w:rPr>
          <w:b w:val="0"/>
        </w:rPr>
        <w:t xml:space="preserve">Letters or documents providing name and relationship to student </w:t>
      </w:r>
      <w:r w:rsidR="008971EC" w:rsidRPr="00F354D8">
        <w:rPr>
          <w:b w:val="0"/>
        </w:rPr>
        <w:t>should be obtained ‘Sponsor letter’</w:t>
      </w:r>
    </w:p>
    <w:p w:rsidR="005450EE" w:rsidRPr="00F354D8" w:rsidRDefault="005450EE" w:rsidP="009C2EDD">
      <w:pPr>
        <w:pStyle w:val="HeadingOne"/>
        <w:numPr>
          <w:ilvl w:val="0"/>
          <w:numId w:val="36"/>
        </w:numPr>
        <w:spacing w:after="0" w:line="240" w:lineRule="auto"/>
        <w:jc w:val="both"/>
        <w:rPr>
          <w:b w:val="0"/>
        </w:rPr>
      </w:pPr>
      <w:r w:rsidRPr="00F354D8">
        <w:rPr>
          <w:b w:val="0"/>
        </w:rPr>
        <w:t xml:space="preserve">Aim to meet sponsors if </w:t>
      </w:r>
      <w:r w:rsidR="009D5E78" w:rsidRPr="00F354D8">
        <w:rPr>
          <w:b w:val="0"/>
        </w:rPr>
        <w:t>appropriate to verify validity of contact</w:t>
      </w:r>
    </w:p>
    <w:p w:rsidR="005450EE" w:rsidRPr="00F354D8" w:rsidRDefault="005450EE" w:rsidP="009C2EDD">
      <w:pPr>
        <w:pStyle w:val="HeadingOne"/>
        <w:numPr>
          <w:ilvl w:val="0"/>
          <w:numId w:val="0"/>
        </w:numPr>
        <w:spacing w:after="0" w:line="240" w:lineRule="auto"/>
        <w:jc w:val="both"/>
        <w:rPr>
          <w:b w:val="0"/>
        </w:rPr>
      </w:pPr>
    </w:p>
    <w:p w:rsidR="005450EE" w:rsidRPr="00F354D8" w:rsidRDefault="005450EE" w:rsidP="009C2EDD">
      <w:pPr>
        <w:pStyle w:val="HeadingOne"/>
        <w:numPr>
          <w:ilvl w:val="0"/>
          <w:numId w:val="0"/>
        </w:numPr>
        <w:spacing w:after="0" w:line="240" w:lineRule="auto"/>
        <w:jc w:val="both"/>
        <w:rPr>
          <w:b w:val="0"/>
        </w:rPr>
      </w:pPr>
      <w:r w:rsidRPr="00F354D8">
        <w:rPr>
          <w:b w:val="0"/>
        </w:rPr>
        <w:t>For third parties:</w:t>
      </w:r>
    </w:p>
    <w:p w:rsidR="005450EE" w:rsidRPr="00F354D8" w:rsidRDefault="005450EE" w:rsidP="009C2EDD">
      <w:pPr>
        <w:pStyle w:val="HeadingOne"/>
        <w:numPr>
          <w:ilvl w:val="0"/>
          <w:numId w:val="36"/>
        </w:numPr>
        <w:spacing w:after="0" w:line="240" w:lineRule="auto"/>
        <w:jc w:val="both"/>
        <w:rPr>
          <w:b w:val="0"/>
        </w:rPr>
      </w:pPr>
      <w:r w:rsidRPr="00F354D8">
        <w:rPr>
          <w:b w:val="0"/>
        </w:rPr>
        <w:t>Obtain letter headed documents showing a registered office and VAT number</w:t>
      </w:r>
    </w:p>
    <w:p w:rsidR="005450EE" w:rsidRPr="00E40A1F" w:rsidRDefault="005450EE" w:rsidP="009C2EDD">
      <w:pPr>
        <w:pStyle w:val="HeadingOne"/>
        <w:numPr>
          <w:ilvl w:val="0"/>
          <w:numId w:val="36"/>
        </w:numPr>
        <w:spacing w:after="0" w:line="240" w:lineRule="auto"/>
        <w:jc w:val="both"/>
        <w:rPr>
          <w:b w:val="0"/>
          <w:sz w:val="20"/>
          <w:szCs w:val="20"/>
        </w:rPr>
      </w:pPr>
      <w:r w:rsidRPr="00F354D8">
        <w:rPr>
          <w:b w:val="0"/>
        </w:rPr>
        <w:t>Request a credit check to be carried out by Finance</w:t>
      </w:r>
    </w:p>
    <w:p w:rsidR="005450EE" w:rsidRDefault="005450EE" w:rsidP="009C2EDD">
      <w:pPr>
        <w:pStyle w:val="HeadingOne"/>
        <w:numPr>
          <w:ilvl w:val="0"/>
          <w:numId w:val="0"/>
        </w:numPr>
        <w:spacing w:after="0" w:line="240" w:lineRule="auto"/>
        <w:ind w:left="770"/>
        <w:jc w:val="both"/>
        <w:rPr>
          <w:b w:val="0"/>
        </w:rPr>
      </w:pPr>
    </w:p>
    <w:p w:rsidR="009D5E78" w:rsidRPr="00F354D8" w:rsidRDefault="009D5E78" w:rsidP="009C2EDD">
      <w:pPr>
        <w:pStyle w:val="HeadingOne"/>
        <w:spacing w:after="0" w:line="240" w:lineRule="auto"/>
        <w:ind w:left="567" w:hanging="567"/>
        <w:jc w:val="both"/>
      </w:pPr>
      <w:r w:rsidRPr="00F354D8">
        <w:t xml:space="preserve">Record </w:t>
      </w:r>
      <w:r w:rsidR="009C2EDD" w:rsidRPr="00F354D8">
        <w:t>keeping requirements</w:t>
      </w:r>
    </w:p>
    <w:p w:rsidR="009C2EDD" w:rsidRPr="00F354D8" w:rsidRDefault="009C2EDD" w:rsidP="009C2EDD">
      <w:pPr>
        <w:pStyle w:val="HeadingOne"/>
        <w:numPr>
          <w:ilvl w:val="0"/>
          <w:numId w:val="0"/>
        </w:numPr>
        <w:spacing w:after="0" w:line="240" w:lineRule="auto"/>
        <w:jc w:val="both"/>
        <w:rPr>
          <w:b w:val="0"/>
        </w:rPr>
      </w:pPr>
      <w:r w:rsidRPr="00F354D8">
        <w:rPr>
          <w:b w:val="0"/>
        </w:rPr>
        <w:t xml:space="preserve">By keeping comprehensive </w:t>
      </w:r>
      <w:r w:rsidR="00847150" w:rsidRPr="00F354D8">
        <w:rPr>
          <w:b w:val="0"/>
        </w:rPr>
        <w:t>records,</w:t>
      </w:r>
      <w:r w:rsidRPr="00F354D8">
        <w:rPr>
          <w:b w:val="0"/>
        </w:rPr>
        <w:t xml:space="preserve"> the University will be able to demonstrate that we have complied with legislation and managed our money laundering risks. This is crucial if there is a subsequent investigation into a transaction.</w:t>
      </w:r>
      <w:r w:rsidR="00516719" w:rsidRPr="00F354D8">
        <w:rPr>
          <w:b w:val="0"/>
        </w:rPr>
        <w:t xml:space="preserve"> Departments must maintain records </w:t>
      </w:r>
      <w:r w:rsidR="001734A3" w:rsidRPr="00F354D8">
        <w:rPr>
          <w:b w:val="0"/>
        </w:rPr>
        <w:t>with</w:t>
      </w:r>
      <w:r w:rsidR="00516719" w:rsidRPr="00F354D8">
        <w:rPr>
          <w:b w:val="0"/>
        </w:rPr>
        <w:t xml:space="preserve"> </w:t>
      </w:r>
      <w:r w:rsidR="001734A3" w:rsidRPr="00F354D8">
        <w:rPr>
          <w:b w:val="0"/>
        </w:rPr>
        <w:t xml:space="preserve">the University’s </w:t>
      </w:r>
      <w:r w:rsidR="00516719" w:rsidRPr="00F354D8">
        <w:rPr>
          <w:b w:val="0"/>
        </w:rPr>
        <w:t xml:space="preserve">Records Management for </w:t>
      </w:r>
      <w:r w:rsidR="001734A3" w:rsidRPr="00F354D8">
        <w:rPr>
          <w:b w:val="0"/>
        </w:rPr>
        <w:t>6 years.</w:t>
      </w:r>
    </w:p>
    <w:p w:rsidR="009C2EDD" w:rsidRPr="00F354D8" w:rsidRDefault="009C2EDD" w:rsidP="009C2EDD">
      <w:pPr>
        <w:pStyle w:val="HeadingOne"/>
        <w:numPr>
          <w:ilvl w:val="0"/>
          <w:numId w:val="0"/>
        </w:numPr>
        <w:spacing w:after="0" w:line="240" w:lineRule="auto"/>
        <w:jc w:val="both"/>
        <w:rPr>
          <w:b w:val="0"/>
        </w:rPr>
      </w:pPr>
    </w:p>
    <w:p w:rsidR="009C2EDD" w:rsidRPr="00F354D8" w:rsidRDefault="009C2EDD" w:rsidP="009C2EDD">
      <w:pPr>
        <w:pStyle w:val="HeadingOne"/>
        <w:numPr>
          <w:ilvl w:val="0"/>
          <w:numId w:val="0"/>
        </w:numPr>
        <w:spacing w:after="0" w:line="240" w:lineRule="auto"/>
        <w:jc w:val="both"/>
        <w:rPr>
          <w:b w:val="0"/>
        </w:rPr>
      </w:pPr>
      <w:r w:rsidRPr="00F354D8">
        <w:rPr>
          <w:b w:val="0"/>
        </w:rPr>
        <w:t>The types of records kept include:</w:t>
      </w:r>
    </w:p>
    <w:p w:rsidR="00516719" w:rsidRPr="00F354D8" w:rsidRDefault="00516719" w:rsidP="00516719">
      <w:pPr>
        <w:pStyle w:val="HeadingOne"/>
        <w:numPr>
          <w:ilvl w:val="0"/>
          <w:numId w:val="38"/>
        </w:numPr>
        <w:spacing w:after="0" w:line="240" w:lineRule="auto"/>
        <w:jc w:val="both"/>
        <w:rPr>
          <w:b w:val="0"/>
        </w:rPr>
      </w:pPr>
      <w:r w:rsidRPr="00F354D8">
        <w:rPr>
          <w:b w:val="0"/>
        </w:rPr>
        <w:t>Student/ customer identification records</w:t>
      </w:r>
    </w:p>
    <w:p w:rsidR="009C2EDD" w:rsidRPr="00F354D8" w:rsidRDefault="009C2EDD" w:rsidP="009C2EDD">
      <w:pPr>
        <w:pStyle w:val="HeadingOne"/>
        <w:numPr>
          <w:ilvl w:val="0"/>
          <w:numId w:val="37"/>
        </w:numPr>
        <w:spacing w:after="0" w:line="240" w:lineRule="auto"/>
        <w:jc w:val="both"/>
        <w:rPr>
          <w:b w:val="0"/>
        </w:rPr>
      </w:pPr>
      <w:r w:rsidRPr="00F354D8">
        <w:rPr>
          <w:b w:val="0"/>
        </w:rPr>
        <w:t xml:space="preserve">Receipts </w:t>
      </w:r>
    </w:p>
    <w:p w:rsidR="009C2EDD" w:rsidRPr="00F354D8" w:rsidRDefault="009C2EDD" w:rsidP="009C2EDD">
      <w:pPr>
        <w:pStyle w:val="HeadingOne"/>
        <w:numPr>
          <w:ilvl w:val="0"/>
          <w:numId w:val="37"/>
        </w:numPr>
        <w:spacing w:after="0" w:line="240" w:lineRule="auto"/>
        <w:jc w:val="both"/>
        <w:rPr>
          <w:b w:val="0"/>
        </w:rPr>
      </w:pPr>
      <w:r w:rsidRPr="00F354D8">
        <w:rPr>
          <w:b w:val="0"/>
        </w:rPr>
        <w:t>Cheques/ Pay-in books</w:t>
      </w:r>
    </w:p>
    <w:p w:rsidR="009C2EDD" w:rsidRPr="00F354D8" w:rsidRDefault="009C2EDD" w:rsidP="009C2EDD">
      <w:pPr>
        <w:pStyle w:val="HeadingOne"/>
        <w:numPr>
          <w:ilvl w:val="0"/>
          <w:numId w:val="37"/>
        </w:numPr>
        <w:spacing w:after="0" w:line="240" w:lineRule="auto"/>
        <w:jc w:val="both"/>
        <w:rPr>
          <w:b w:val="0"/>
        </w:rPr>
      </w:pPr>
      <w:r w:rsidRPr="00F354D8">
        <w:rPr>
          <w:b w:val="0"/>
        </w:rPr>
        <w:t>Customer correspondence</w:t>
      </w:r>
    </w:p>
    <w:p w:rsidR="009C2EDD" w:rsidRPr="00F354D8" w:rsidRDefault="009C2EDD" w:rsidP="009C2EDD">
      <w:pPr>
        <w:pStyle w:val="HeadingOne"/>
        <w:numPr>
          <w:ilvl w:val="0"/>
          <w:numId w:val="0"/>
        </w:numPr>
        <w:spacing w:after="0" w:line="240" w:lineRule="auto"/>
        <w:jc w:val="both"/>
        <w:rPr>
          <w:b w:val="0"/>
        </w:rPr>
      </w:pPr>
      <w:r w:rsidRPr="00F354D8">
        <w:rPr>
          <w:b w:val="0"/>
        </w:rPr>
        <w:t xml:space="preserve"> </w:t>
      </w:r>
    </w:p>
    <w:p w:rsidR="004A23C5" w:rsidRPr="00F354D8" w:rsidRDefault="004A23C5" w:rsidP="009C2EDD">
      <w:pPr>
        <w:pStyle w:val="HeadingOne"/>
        <w:spacing w:after="0" w:line="240" w:lineRule="auto"/>
        <w:ind w:left="567" w:hanging="567"/>
        <w:jc w:val="both"/>
      </w:pPr>
      <w:r w:rsidRPr="00F354D8">
        <w:t>Identifying money laundering: activities to be considered in relation to the University</w:t>
      </w:r>
    </w:p>
    <w:p w:rsidR="004A23C5" w:rsidRPr="00F354D8" w:rsidRDefault="004A23C5" w:rsidP="009C2EDD">
      <w:pPr>
        <w:spacing w:after="0" w:line="240" w:lineRule="auto"/>
        <w:jc w:val="both"/>
      </w:pPr>
      <w:r w:rsidRPr="00F354D8">
        <w:t xml:space="preserve">It is not possible to give a definitive list of ways to spot money laundering or how to decide whether to make a report to the </w:t>
      </w:r>
      <w:r w:rsidR="008971EC" w:rsidRPr="00F354D8">
        <w:t>ML</w:t>
      </w:r>
      <w:r w:rsidR="00553FCF" w:rsidRPr="00F354D8">
        <w:t>N</w:t>
      </w:r>
      <w:r w:rsidR="008971EC" w:rsidRPr="00F354D8">
        <w:t>O</w:t>
      </w:r>
      <w:r w:rsidRPr="00F354D8">
        <w:t>.  The following are risk factors which may, either alone or collectively, suggest the possibility of money laundering activity:</w:t>
      </w:r>
    </w:p>
    <w:p w:rsidR="008971EC" w:rsidRPr="00F354D8" w:rsidRDefault="008971EC" w:rsidP="009C2EDD">
      <w:pPr>
        <w:spacing w:after="0" w:line="240" w:lineRule="auto"/>
        <w:jc w:val="both"/>
      </w:pPr>
    </w:p>
    <w:p w:rsidR="004A23C5" w:rsidRPr="00F354D8" w:rsidRDefault="004A23C5" w:rsidP="009C2EDD">
      <w:pPr>
        <w:pStyle w:val="ListParagraph"/>
        <w:numPr>
          <w:ilvl w:val="0"/>
          <w:numId w:val="28"/>
        </w:numPr>
        <w:spacing w:after="0" w:line="240" w:lineRule="auto"/>
        <w:jc w:val="both"/>
      </w:pPr>
      <w:r w:rsidRPr="00F354D8">
        <w:t xml:space="preserve">A student </w:t>
      </w:r>
      <w:r w:rsidR="001734A3" w:rsidRPr="00F354D8">
        <w:t xml:space="preserve">or company </w:t>
      </w:r>
      <w:r w:rsidRPr="00F354D8">
        <w:t>pays fees by cash direct to the University and fails to provide proper evi</w:t>
      </w:r>
      <w:r w:rsidR="001734A3" w:rsidRPr="00F354D8">
        <w:t>dence to confirm their identity and address;</w:t>
      </w:r>
    </w:p>
    <w:p w:rsidR="001734A3" w:rsidRPr="00F354D8" w:rsidRDefault="001734A3" w:rsidP="009C2EDD">
      <w:pPr>
        <w:pStyle w:val="ListParagraph"/>
        <w:numPr>
          <w:ilvl w:val="0"/>
          <w:numId w:val="28"/>
        </w:numPr>
        <w:spacing w:after="0" w:line="240" w:lineRule="auto"/>
        <w:jc w:val="both"/>
      </w:pPr>
      <w:r w:rsidRPr="00F354D8">
        <w:t>A person or company doing business with the University lacks proper paperwork, e.g. invoices that exclude VAT, failure to quote a VAT number or invoices issued by a limited company that lack the company's registered office and number;</w:t>
      </w:r>
    </w:p>
    <w:p w:rsidR="004A23C5" w:rsidRPr="00F354D8" w:rsidRDefault="004A23C5" w:rsidP="009C2EDD">
      <w:pPr>
        <w:pStyle w:val="ListParagraph"/>
        <w:numPr>
          <w:ilvl w:val="0"/>
          <w:numId w:val="28"/>
        </w:numPr>
        <w:spacing w:after="0" w:line="240" w:lineRule="auto"/>
        <w:jc w:val="both"/>
      </w:pPr>
      <w:r w:rsidRPr="00F354D8">
        <w:t>A student pays fees for another student</w:t>
      </w:r>
      <w:r w:rsidR="001734A3" w:rsidRPr="00F354D8">
        <w:t xml:space="preserve"> who is not present at the time, without permission from the absent student;</w:t>
      </w:r>
    </w:p>
    <w:p w:rsidR="00847150" w:rsidRDefault="004A23C5" w:rsidP="00C35293">
      <w:pPr>
        <w:pStyle w:val="ListParagraph"/>
        <w:numPr>
          <w:ilvl w:val="0"/>
          <w:numId w:val="28"/>
        </w:numPr>
        <w:spacing w:after="0" w:line="240" w:lineRule="auto"/>
        <w:ind w:left="360"/>
        <w:jc w:val="both"/>
      </w:pPr>
      <w:r w:rsidRPr="00F354D8">
        <w:t xml:space="preserve">A sponsor/ third party not known to the University pays fees for students without </w:t>
      </w:r>
      <w:r w:rsidR="001734A3" w:rsidRPr="00F354D8">
        <w:t>a logical reason or explanation;</w:t>
      </w:r>
      <w:r w:rsidR="00847150">
        <w:t xml:space="preserve">  </w:t>
      </w:r>
    </w:p>
    <w:p w:rsidR="00847150" w:rsidRDefault="00847150" w:rsidP="00C35293">
      <w:pPr>
        <w:pStyle w:val="ListParagraph"/>
        <w:numPr>
          <w:ilvl w:val="0"/>
          <w:numId w:val="28"/>
        </w:numPr>
        <w:spacing w:after="0" w:line="240" w:lineRule="auto"/>
        <w:ind w:left="360"/>
        <w:jc w:val="both"/>
        <w:sectPr w:rsidR="00847150" w:rsidSect="00847150">
          <w:headerReference w:type="default" r:id="rId18"/>
          <w:pgSz w:w="11906" w:h="16838"/>
          <w:pgMar w:top="1440" w:right="1440" w:bottom="1440" w:left="1440" w:header="708" w:footer="708" w:gutter="0"/>
          <w:pgNumType w:start="0"/>
          <w:cols w:space="708"/>
          <w:docGrid w:linePitch="360"/>
        </w:sectPr>
      </w:pPr>
    </w:p>
    <w:p w:rsidR="004A23C5" w:rsidRPr="00F354D8" w:rsidRDefault="001734A3" w:rsidP="009C2EDD">
      <w:pPr>
        <w:pStyle w:val="ListParagraph"/>
        <w:numPr>
          <w:ilvl w:val="0"/>
          <w:numId w:val="28"/>
        </w:numPr>
        <w:spacing w:after="0" w:line="240" w:lineRule="auto"/>
        <w:jc w:val="both"/>
      </w:pPr>
      <w:r w:rsidRPr="00F354D8">
        <w:lastRenderedPageBreak/>
        <w:t>Overpayments for no reason;</w:t>
      </w:r>
    </w:p>
    <w:p w:rsidR="001734A3" w:rsidRPr="00F354D8" w:rsidRDefault="001734A3" w:rsidP="001734A3">
      <w:pPr>
        <w:pStyle w:val="ListParagraph"/>
        <w:numPr>
          <w:ilvl w:val="0"/>
          <w:numId w:val="28"/>
        </w:numPr>
        <w:spacing w:after="0" w:line="240" w:lineRule="auto"/>
        <w:jc w:val="both"/>
      </w:pPr>
      <w:r w:rsidRPr="00F354D8">
        <w:t>Significant changes in the size, nature, frequency of transactions with a customer that is without reasonable explanation;</w:t>
      </w:r>
    </w:p>
    <w:p w:rsidR="004A23C5" w:rsidRPr="00F354D8" w:rsidRDefault="004A23C5" w:rsidP="009C2EDD">
      <w:pPr>
        <w:pStyle w:val="ListParagraph"/>
        <w:numPr>
          <w:ilvl w:val="0"/>
          <w:numId w:val="28"/>
        </w:numPr>
        <w:spacing w:after="0" w:line="240" w:lineRule="auto"/>
        <w:jc w:val="both"/>
      </w:pPr>
      <w:r w:rsidRPr="00F354D8">
        <w:t>Unusual or unexpected large payments are made into t</w:t>
      </w:r>
      <w:r w:rsidR="001734A3" w:rsidRPr="00F354D8">
        <w:t>he University accounts;</w:t>
      </w:r>
    </w:p>
    <w:p w:rsidR="004A23C5" w:rsidRPr="00F354D8" w:rsidRDefault="004A23C5" w:rsidP="009C2EDD">
      <w:pPr>
        <w:pStyle w:val="ListParagraph"/>
        <w:numPr>
          <w:ilvl w:val="0"/>
          <w:numId w:val="28"/>
        </w:numPr>
        <w:spacing w:after="0" w:line="240" w:lineRule="auto"/>
        <w:jc w:val="both"/>
      </w:pPr>
      <w:r w:rsidRPr="00F354D8">
        <w:t>A person or company attempts to engage in circular transactions, where a payment to the University is followed by an attempt to obtain a refund</w:t>
      </w:r>
      <w:r w:rsidR="001734A3" w:rsidRPr="00F354D8">
        <w:t xml:space="preserve"> from the University’s accounts;</w:t>
      </w:r>
    </w:p>
    <w:p w:rsidR="004A23C5" w:rsidRPr="00F354D8" w:rsidRDefault="004A23C5" w:rsidP="009C2EDD">
      <w:pPr>
        <w:pStyle w:val="ListParagraph"/>
        <w:numPr>
          <w:ilvl w:val="0"/>
          <w:numId w:val="28"/>
        </w:numPr>
        <w:spacing w:after="0" w:line="240" w:lineRule="auto"/>
        <w:jc w:val="both"/>
      </w:pPr>
      <w:r w:rsidRPr="00F354D8">
        <w:t>Cancellation, reversal or request for refunds of earlier transactions, particularly if there is a request to return money to a different acco</w:t>
      </w:r>
      <w:r w:rsidR="001734A3" w:rsidRPr="00F354D8">
        <w:t>unt or individual to the payer.</w:t>
      </w:r>
    </w:p>
    <w:p w:rsidR="001734A3" w:rsidRPr="00F354D8" w:rsidRDefault="001734A3" w:rsidP="001734A3">
      <w:pPr>
        <w:spacing w:after="0" w:line="240" w:lineRule="auto"/>
        <w:jc w:val="both"/>
      </w:pPr>
    </w:p>
    <w:p w:rsidR="001734A3" w:rsidRPr="00F354D8" w:rsidRDefault="001734A3" w:rsidP="001734A3">
      <w:pPr>
        <w:spacing w:after="0" w:line="240" w:lineRule="auto"/>
        <w:jc w:val="both"/>
      </w:pPr>
      <w:r w:rsidRPr="00F354D8">
        <w:t>Please note these examples are not intended to be exhaustive, but provide a general indication of the range of matters covered by this Policy.</w:t>
      </w:r>
    </w:p>
    <w:p w:rsidR="001734A3" w:rsidRPr="001734A3" w:rsidRDefault="001734A3" w:rsidP="001734A3">
      <w:pPr>
        <w:spacing w:after="0" w:line="240" w:lineRule="auto"/>
        <w:jc w:val="both"/>
        <w:rPr>
          <w:sz w:val="20"/>
          <w:szCs w:val="20"/>
        </w:rPr>
      </w:pPr>
    </w:p>
    <w:p w:rsidR="00232EDD" w:rsidRPr="00F354D8" w:rsidRDefault="004A23C5" w:rsidP="009C2EDD">
      <w:pPr>
        <w:pStyle w:val="HeadingOne"/>
        <w:spacing w:after="0" w:line="240" w:lineRule="auto"/>
        <w:ind w:left="567" w:hanging="567"/>
        <w:jc w:val="both"/>
      </w:pPr>
      <w:r w:rsidRPr="00F354D8">
        <w:t xml:space="preserve">Controls to mitigate </w:t>
      </w:r>
      <w:r w:rsidR="008310DC" w:rsidRPr="00F354D8">
        <w:t xml:space="preserve">the </w:t>
      </w:r>
      <w:r w:rsidRPr="00F354D8">
        <w:t>risk of money laundering</w:t>
      </w:r>
    </w:p>
    <w:p w:rsidR="00D9401B" w:rsidRPr="00F354D8" w:rsidRDefault="0004790B" w:rsidP="009C2EDD">
      <w:pPr>
        <w:pStyle w:val="ListParagraph"/>
        <w:numPr>
          <w:ilvl w:val="0"/>
          <w:numId w:val="30"/>
        </w:numPr>
        <w:spacing w:after="0" w:line="240" w:lineRule="auto"/>
        <w:jc w:val="both"/>
      </w:pPr>
      <w:r w:rsidRPr="00F354D8">
        <w:t xml:space="preserve">The University does not accept cash payments directly. Should a student wish to make a payment for tuition fees in cash then they should be directed to </w:t>
      </w:r>
      <w:r w:rsidR="00B565E0" w:rsidRPr="00F354D8">
        <w:t xml:space="preserve">the </w:t>
      </w:r>
      <w:r w:rsidRPr="00F354D8">
        <w:t>Santander B</w:t>
      </w:r>
      <w:r w:rsidR="00B565E0" w:rsidRPr="00F354D8">
        <w:t>ank</w:t>
      </w:r>
      <w:r w:rsidR="001734A3" w:rsidRPr="00F354D8">
        <w:t xml:space="preserve"> on Campus;</w:t>
      </w:r>
    </w:p>
    <w:p w:rsidR="008310DC" w:rsidRPr="00F354D8" w:rsidRDefault="00D9401B" w:rsidP="009C2EDD">
      <w:pPr>
        <w:pStyle w:val="ListParagraph"/>
        <w:numPr>
          <w:ilvl w:val="0"/>
          <w:numId w:val="30"/>
        </w:numPr>
        <w:spacing w:after="0" w:line="240" w:lineRule="auto"/>
        <w:jc w:val="both"/>
      </w:pPr>
      <w:r w:rsidRPr="00F354D8">
        <w:t>A student should not be permitted to pay the fees of another student</w:t>
      </w:r>
      <w:r w:rsidR="006E6504" w:rsidRPr="00F354D8">
        <w:t xml:space="preserve"> who is not present at the time;</w:t>
      </w:r>
    </w:p>
    <w:p w:rsidR="00D9401B" w:rsidRPr="00F354D8" w:rsidRDefault="00D9401B" w:rsidP="009C2EDD">
      <w:pPr>
        <w:pStyle w:val="ListParagraph"/>
        <w:numPr>
          <w:ilvl w:val="0"/>
          <w:numId w:val="30"/>
        </w:numPr>
        <w:spacing w:after="0" w:line="240" w:lineRule="auto"/>
        <w:jc w:val="both"/>
      </w:pPr>
      <w:r w:rsidRPr="00F354D8">
        <w:t>Refunds made in respect of either student or non-student income should only be made by the same method and to the same account a</w:t>
      </w:r>
      <w:r w:rsidR="006E6504" w:rsidRPr="00F354D8">
        <w:t>s the original payment was made;</w:t>
      </w:r>
    </w:p>
    <w:p w:rsidR="00D9401B" w:rsidRPr="00F354D8" w:rsidRDefault="00D9401B" w:rsidP="009C2EDD">
      <w:pPr>
        <w:pStyle w:val="ListParagraph"/>
        <w:numPr>
          <w:ilvl w:val="0"/>
          <w:numId w:val="30"/>
        </w:numPr>
        <w:spacing w:after="0" w:line="240" w:lineRule="auto"/>
        <w:jc w:val="both"/>
      </w:pPr>
      <w:r w:rsidRPr="00F354D8">
        <w:t>In the event of payment by credit or debit card being rejected, the reason should be checked with the card provider prior to accepting</w:t>
      </w:r>
      <w:r w:rsidR="006E6504" w:rsidRPr="00F354D8">
        <w:t xml:space="preserve"> an alternative card;</w:t>
      </w:r>
    </w:p>
    <w:p w:rsidR="00D9401B" w:rsidRPr="00F354D8" w:rsidRDefault="00D9401B" w:rsidP="009C2EDD">
      <w:pPr>
        <w:pStyle w:val="ListParagraph"/>
        <w:numPr>
          <w:ilvl w:val="0"/>
          <w:numId w:val="30"/>
        </w:numPr>
        <w:spacing w:after="0" w:line="240" w:lineRule="auto"/>
        <w:jc w:val="both"/>
      </w:pPr>
      <w:r w:rsidRPr="00F354D8">
        <w:t xml:space="preserve">Fees paid in advance for overseas students who have subsequently been refused a visa are only refundable providing appropriate documentary evidence is received. Refunds can only be made </w:t>
      </w:r>
      <w:r w:rsidR="00CA581B" w:rsidRPr="00F354D8">
        <w:t>by the same method and to the same account as the orig</w:t>
      </w:r>
      <w:r w:rsidR="00B565E0" w:rsidRPr="00F354D8">
        <w:t>inal payment was made</w:t>
      </w:r>
      <w:r w:rsidR="006E6504" w:rsidRPr="00F354D8">
        <w:t>;</w:t>
      </w:r>
    </w:p>
    <w:p w:rsidR="00D9401B" w:rsidRPr="00F354D8" w:rsidRDefault="00D9401B" w:rsidP="009C2EDD">
      <w:pPr>
        <w:pStyle w:val="ListParagraph"/>
        <w:numPr>
          <w:ilvl w:val="0"/>
          <w:numId w:val="30"/>
        </w:numPr>
        <w:spacing w:after="0" w:line="240" w:lineRule="auto"/>
        <w:jc w:val="both"/>
      </w:pPr>
      <w:r w:rsidRPr="00F354D8">
        <w:t xml:space="preserve">Students must make arrangements to cover their own living expenses. If a sponsor or third party pays funds in excess of tuition fees for such </w:t>
      </w:r>
      <w:r w:rsidR="00CA581B" w:rsidRPr="00F354D8">
        <w:t>purposes</w:t>
      </w:r>
      <w:r w:rsidRPr="00F354D8">
        <w:t xml:space="preserve">, the </w:t>
      </w:r>
      <w:r w:rsidR="00CA581B" w:rsidRPr="00F354D8">
        <w:t xml:space="preserve">funds </w:t>
      </w:r>
      <w:r w:rsidRPr="00F354D8">
        <w:t xml:space="preserve">cannot be transferred to the student. It can only be repaid </w:t>
      </w:r>
      <w:r w:rsidR="00CA581B" w:rsidRPr="00F354D8">
        <w:t>by the same method and to the same account as the original payment was made.</w:t>
      </w:r>
    </w:p>
    <w:p w:rsidR="00E87408" w:rsidRPr="00E40A1F" w:rsidRDefault="00E87408" w:rsidP="00E87408">
      <w:pPr>
        <w:pStyle w:val="ListParagraph"/>
        <w:spacing w:after="0" w:line="240" w:lineRule="auto"/>
        <w:jc w:val="both"/>
        <w:rPr>
          <w:sz w:val="20"/>
          <w:szCs w:val="20"/>
        </w:rPr>
      </w:pPr>
    </w:p>
    <w:p w:rsidR="00F22B5A" w:rsidRPr="00F354D8" w:rsidRDefault="00F22B5A" w:rsidP="00F22B5A">
      <w:pPr>
        <w:pStyle w:val="HeadingOne"/>
        <w:spacing w:after="0" w:line="240" w:lineRule="auto"/>
        <w:ind w:left="567" w:hanging="567"/>
        <w:jc w:val="both"/>
      </w:pPr>
      <w:bookmarkStart w:id="5" w:name="_Toc436320300"/>
      <w:r w:rsidRPr="00F354D8">
        <w:t xml:space="preserve">Disclosure </w:t>
      </w:r>
      <w:r w:rsidR="00D65EC1" w:rsidRPr="00F354D8">
        <w:t>p</w:t>
      </w:r>
      <w:r w:rsidRPr="00F354D8">
        <w:t>rocedure – how to report a concern</w:t>
      </w:r>
    </w:p>
    <w:p w:rsidR="00F22B5A" w:rsidRPr="00F354D8" w:rsidRDefault="00F22B5A" w:rsidP="00F22B5A">
      <w:pPr>
        <w:spacing w:after="0" w:line="240" w:lineRule="auto"/>
        <w:jc w:val="both"/>
      </w:pPr>
      <w:r w:rsidRPr="00F354D8">
        <w:t xml:space="preserve">When you suspect </w:t>
      </w:r>
      <w:r w:rsidR="002F7800" w:rsidRPr="00F354D8">
        <w:t>or</w:t>
      </w:r>
      <w:r w:rsidRPr="00F354D8">
        <w:t xml:space="preserve"> know that a money laundering activity is taking, or has taken</w:t>
      </w:r>
      <w:r w:rsidR="002F7800" w:rsidRPr="00F354D8">
        <w:t xml:space="preserve"> place</w:t>
      </w:r>
      <w:r w:rsidRPr="00F354D8">
        <w:t>, you should:</w:t>
      </w:r>
    </w:p>
    <w:p w:rsidR="00F22B5A" w:rsidRPr="00F354D8" w:rsidRDefault="00F22B5A" w:rsidP="00F22B5A">
      <w:pPr>
        <w:pStyle w:val="ListParagraph"/>
        <w:widowControl w:val="0"/>
        <w:numPr>
          <w:ilvl w:val="0"/>
          <w:numId w:val="40"/>
        </w:numPr>
        <w:spacing w:after="0" w:line="240" w:lineRule="auto"/>
        <w:contextualSpacing w:val="0"/>
        <w:jc w:val="both"/>
      </w:pPr>
      <w:r w:rsidRPr="00F354D8">
        <w:t xml:space="preserve">use the </w:t>
      </w:r>
      <w:r w:rsidR="000768FB" w:rsidRPr="00F354D8">
        <w:t xml:space="preserve">Suspected </w:t>
      </w:r>
      <w:r w:rsidRPr="00F354D8">
        <w:t>Money Laundering Report Form at the end of this policy to report the concern, giving as much information as possible, in writing, and without delay;</w:t>
      </w:r>
    </w:p>
    <w:p w:rsidR="00F22B5A" w:rsidRPr="00F354D8" w:rsidRDefault="002F7800" w:rsidP="00F22B5A">
      <w:pPr>
        <w:pStyle w:val="ListParagraph"/>
        <w:widowControl w:val="0"/>
        <w:numPr>
          <w:ilvl w:val="0"/>
          <w:numId w:val="40"/>
        </w:numPr>
        <w:spacing w:after="0" w:line="240" w:lineRule="auto"/>
        <w:contextualSpacing w:val="0"/>
        <w:jc w:val="both"/>
      </w:pPr>
      <w:r w:rsidRPr="00F354D8">
        <w:t>email</w:t>
      </w:r>
      <w:r w:rsidR="00F22B5A" w:rsidRPr="00F354D8">
        <w:t xml:space="preserve"> the Form as soon as possible to the University’s Money Laundering </w:t>
      </w:r>
      <w:r w:rsidR="00553FCF" w:rsidRPr="00F354D8">
        <w:t xml:space="preserve">Nominated Officer (MLNO) </w:t>
      </w:r>
      <w:r w:rsidRPr="00F354D8">
        <w:t>(email address below)</w:t>
      </w:r>
      <w:r w:rsidR="00F22B5A" w:rsidRPr="00F354D8">
        <w:t xml:space="preserve">, marking the </w:t>
      </w:r>
      <w:r w:rsidRPr="00F354D8">
        <w:t>email</w:t>
      </w:r>
      <w:r w:rsidR="00F22B5A" w:rsidRPr="00F354D8">
        <w:t xml:space="preserve"> “Confidential”;</w:t>
      </w:r>
    </w:p>
    <w:p w:rsidR="00F22B5A" w:rsidRPr="00F354D8" w:rsidRDefault="00F22B5A" w:rsidP="00F22B5A">
      <w:pPr>
        <w:pStyle w:val="ListParagraph"/>
        <w:widowControl w:val="0"/>
        <w:numPr>
          <w:ilvl w:val="0"/>
          <w:numId w:val="40"/>
        </w:numPr>
        <w:spacing w:after="0" w:line="240" w:lineRule="auto"/>
        <w:contextualSpacing w:val="0"/>
        <w:jc w:val="both"/>
      </w:pPr>
      <w:r w:rsidRPr="00F354D8">
        <w:t>Once you have reported your suspicions to the ML</w:t>
      </w:r>
      <w:r w:rsidR="00553FCF" w:rsidRPr="00F354D8">
        <w:t>N</w:t>
      </w:r>
      <w:r w:rsidRPr="00F354D8">
        <w:t>O you should not make any further inquiries nor discuss your suspicions further unless instructed by the ML</w:t>
      </w:r>
      <w:r w:rsidR="00553FCF" w:rsidRPr="00F354D8">
        <w:t>N</w:t>
      </w:r>
      <w:r w:rsidRPr="00F354D8">
        <w:t>O to avoid making a disclosure which may prejudice a money laundering investigation.  At no time and under no circumstances should you voice any suspicions to person(s) you suspect of money laundering.</w:t>
      </w:r>
      <w:r w:rsidR="00D65EC1" w:rsidRPr="00F354D8">
        <w:t xml:space="preserve"> </w:t>
      </w:r>
      <w:r w:rsidRPr="00F354D8">
        <w:t>This is to avoid committing the offence of “tipping off” those who may be involved.</w:t>
      </w:r>
    </w:p>
    <w:p w:rsidR="00F22B5A" w:rsidRDefault="00F22B5A" w:rsidP="00D65EC1">
      <w:pPr>
        <w:pStyle w:val="HeadingOne"/>
        <w:numPr>
          <w:ilvl w:val="0"/>
          <w:numId w:val="0"/>
        </w:numPr>
        <w:spacing w:after="0" w:line="240" w:lineRule="auto"/>
        <w:ind w:left="567"/>
        <w:jc w:val="both"/>
        <w:rPr>
          <w:color w:val="0070C0"/>
          <w:sz w:val="28"/>
        </w:rPr>
      </w:pPr>
    </w:p>
    <w:p w:rsidR="00353E54" w:rsidRPr="00F354D8" w:rsidRDefault="00D65EC1" w:rsidP="009C2EDD">
      <w:pPr>
        <w:pStyle w:val="HeadingOne"/>
        <w:spacing w:after="0" w:line="240" w:lineRule="auto"/>
        <w:ind w:left="567" w:hanging="567"/>
        <w:jc w:val="both"/>
      </w:pPr>
      <w:r w:rsidRPr="00F354D8">
        <w:t xml:space="preserve">What the University will do - </w:t>
      </w:r>
      <w:r w:rsidR="00353E54" w:rsidRPr="00F354D8">
        <w:t xml:space="preserve">The Money Laundering </w:t>
      </w:r>
      <w:r w:rsidR="00553FCF" w:rsidRPr="00F354D8">
        <w:t>Nominated</w:t>
      </w:r>
      <w:r w:rsidR="00353E54" w:rsidRPr="00F354D8">
        <w:t xml:space="preserve"> Officer (“ML</w:t>
      </w:r>
      <w:r w:rsidR="00553FCF" w:rsidRPr="00F354D8">
        <w:t>N</w:t>
      </w:r>
      <w:r w:rsidR="00353E54" w:rsidRPr="00F354D8">
        <w:t>O”)</w:t>
      </w:r>
      <w:bookmarkEnd w:id="5"/>
    </w:p>
    <w:p w:rsidR="00353E54" w:rsidRPr="00F354D8" w:rsidRDefault="00353E54" w:rsidP="009C2EDD">
      <w:pPr>
        <w:spacing w:after="0" w:line="240" w:lineRule="auto"/>
        <w:jc w:val="both"/>
      </w:pPr>
      <w:r w:rsidRPr="00F354D8">
        <w:t>The ML</w:t>
      </w:r>
      <w:r w:rsidR="00553FCF" w:rsidRPr="00F354D8">
        <w:t>N</w:t>
      </w:r>
      <w:r w:rsidRPr="00F354D8">
        <w:t>O’s role is to be aware of any suspicious activity in the University that might be linked to money laundering or terrorist financing, and if necessary to report it. They’re responsible for:</w:t>
      </w:r>
    </w:p>
    <w:p w:rsidR="00353E54" w:rsidRPr="00F354D8" w:rsidRDefault="00B565E0" w:rsidP="009C2EDD">
      <w:pPr>
        <w:pStyle w:val="ListParagraph"/>
        <w:numPr>
          <w:ilvl w:val="0"/>
          <w:numId w:val="9"/>
        </w:numPr>
        <w:spacing w:after="0" w:line="240" w:lineRule="auto"/>
        <w:jc w:val="both"/>
      </w:pPr>
      <w:r w:rsidRPr="00F354D8">
        <w:t>R</w:t>
      </w:r>
      <w:r w:rsidR="00353E54" w:rsidRPr="00F354D8">
        <w:t xml:space="preserve">eceiving reports of suspicious activity from any employee in the </w:t>
      </w:r>
      <w:r w:rsidR="007E5178" w:rsidRPr="00F354D8">
        <w:t>University</w:t>
      </w:r>
      <w:r w:rsidR="00353E54" w:rsidRPr="00F354D8">
        <w:t>;</w:t>
      </w:r>
    </w:p>
    <w:p w:rsidR="00353E54" w:rsidRDefault="00B565E0" w:rsidP="009C2EDD">
      <w:pPr>
        <w:pStyle w:val="ListParagraph"/>
        <w:numPr>
          <w:ilvl w:val="0"/>
          <w:numId w:val="9"/>
        </w:numPr>
        <w:spacing w:after="0" w:line="240" w:lineRule="auto"/>
        <w:jc w:val="both"/>
      </w:pPr>
      <w:r w:rsidRPr="00F354D8">
        <w:t>C</w:t>
      </w:r>
      <w:r w:rsidR="00353E54" w:rsidRPr="00F354D8">
        <w:t xml:space="preserve">onsidering all reports </w:t>
      </w:r>
      <w:r w:rsidRPr="00F354D8">
        <w:t>and evaluating whether there is, or seems to be,</w:t>
      </w:r>
      <w:r w:rsidR="00353E54" w:rsidRPr="00F354D8">
        <w:t xml:space="preserve"> any evidence of money laundering or terrorist financing;</w:t>
      </w:r>
    </w:p>
    <w:p w:rsidR="00847150" w:rsidRDefault="00847150" w:rsidP="00847150">
      <w:pPr>
        <w:pStyle w:val="ListParagraph"/>
        <w:spacing w:after="0" w:line="240" w:lineRule="auto"/>
        <w:jc w:val="both"/>
        <w:sectPr w:rsidR="00847150" w:rsidSect="00847150">
          <w:headerReference w:type="default" r:id="rId19"/>
          <w:pgSz w:w="11906" w:h="16838"/>
          <w:pgMar w:top="1440" w:right="1440" w:bottom="1440" w:left="1440" w:header="708" w:footer="708" w:gutter="0"/>
          <w:pgNumType w:start="0"/>
          <w:cols w:space="708"/>
          <w:docGrid w:linePitch="360"/>
        </w:sectPr>
      </w:pPr>
    </w:p>
    <w:p w:rsidR="00E40A1F" w:rsidRPr="00F354D8" w:rsidRDefault="00E40A1F" w:rsidP="009C2EDD">
      <w:pPr>
        <w:pStyle w:val="ListParagraph"/>
        <w:numPr>
          <w:ilvl w:val="0"/>
          <w:numId w:val="9"/>
        </w:numPr>
        <w:spacing w:after="0" w:line="240" w:lineRule="auto"/>
        <w:jc w:val="both"/>
      </w:pPr>
      <w:r w:rsidRPr="00F354D8">
        <w:lastRenderedPageBreak/>
        <w:t>Report all reports received, whether potential or actual cases of money laundering to the Audit Committee;</w:t>
      </w:r>
    </w:p>
    <w:p w:rsidR="00353E54" w:rsidRPr="00F354D8" w:rsidRDefault="00B565E0" w:rsidP="009C2EDD">
      <w:pPr>
        <w:pStyle w:val="ListParagraph"/>
        <w:numPr>
          <w:ilvl w:val="0"/>
          <w:numId w:val="9"/>
        </w:numPr>
        <w:spacing w:after="0" w:line="240" w:lineRule="auto"/>
        <w:jc w:val="both"/>
      </w:pPr>
      <w:r w:rsidRPr="00F354D8">
        <w:t>R</w:t>
      </w:r>
      <w:r w:rsidR="00353E54" w:rsidRPr="00F354D8">
        <w:t>eporting any suspicious activity or transaction to the National Crime Agency (NCA) by completing and submitting a Suspicious Activity Report; and</w:t>
      </w:r>
    </w:p>
    <w:p w:rsidR="00353E54" w:rsidRPr="00F354D8" w:rsidRDefault="00B565E0" w:rsidP="009C2EDD">
      <w:pPr>
        <w:pStyle w:val="ListParagraph"/>
        <w:numPr>
          <w:ilvl w:val="0"/>
          <w:numId w:val="9"/>
        </w:numPr>
        <w:spacing w:after="0" w:line="240" w:lineRule="auto"/>
        <w:jc w:val="both"/>
      </w:pPr>
      <w:r w:rsidRPr="00F354D8">
        <w:t>A</w:t>
      </w:r>
      <w:r w:rsidR="00353E54" w:rsidRPr="00F354D8">
        <w:t>sking the NCA for consent to continue with any transactions that they’ve reported, and making sure that no transactions are continued illegally.</w:t>
      </w:r>
    </w:p>
    <w:p w:rsidR="009C2EDD" w:rsidRPr="00F354D8" w:rsidRDefault="009C2EDD" w:rsidP="009C2EDD">
      <w:pPr>
        <w:pStyle w:val="ListParagraph"/>
        <w:spacing w:after="0" w:line="240" w:lineRule="auto"/>
        <w:jc w:val="both"/>
      </w:pPr>
    </w:p>
    <w:p w:rsidR="007E5178" w:rsidRDefault="00353E54" w:rsidP="00847150">
      <w:pPr>
        <w:spacing w:after="0" w:line="240" w:lineRule="auto"/>
        <w:jc w:val="both"/>
      </w:pPr>
      <w:r w:rsidRPr="00F354D8">
        <w:t>The ML</w:t>
      </w:r>
      <w:r w:rsidR="00553FCF" w:rsidRPr="00F354D8">
        <w:t>N</w:t>
      </w:r>
      <w:r w:rsidRPr="00F354D8">
        <w:t xml:space="preserve">O for GCU is </w:t>
      </w:r>
      <w:r w:rsidR="00F4677F" w:rsidRPr="00F354D8">
        <w:t xml:space="preserve">the Chief </w:t>
      </w:r>
      <w:r w:rsidR="00F354D8">
        <w:t xml:space="preserve">Operating </w:t>
      </w:r>
      <w:r w:rsidR="00F4677F" w:rsidRPr="00F354D8">
        <w:t xml:space="preserve">Officer.  </w:t>
      </w:r>
      <w:r w:rsidRPr="00F354D8">
        <w:t xml:space="preserve">In the absence of the Chief </w:t>
      </w:r>
      <w:r w:rsidR="00847150">
        <w:t xml:space="preserve">Operating </w:t>
      </w:r>
      <w:r w:rsidRPr="00F354D8">
        <w:t xml:space="preserve">Officer, the </w:t>
      </w:r>
      <w:r w:rsidR="00847150">
        <w:t>Director of Finance or in their absence the Financial Controller</w:t>
      </w:r>
      <w:r w:rsidRPr="00F354D8">
        <w:t xml:space="preserve"> will act as the ML</w:t>
      </w:r>
      <w:r w:rsidR="00553FCF" w:rsidRPr="00F354D8">
        <w:t>N</w:t>
      </w:r>
      <w:r w:rsidRPr="00F354D8">
        <w:t>O.</w:t>
      </w:r>
      <w:r w:rsidR="00F4677F" w:rsidRPr="00F354D8">
        <w:t xml:space="preserve">  </w:t>
      </w:r>
      <w:bookmarkStart w:id="6" w:name="_Toc436320301"/>
    </w:p>
    <w:p w:rsidR="00847150" w:rsidRDefault="00847150" w:rsidP="00847150">
      <w:pPr>
        <w:spacing w:after="0" w:line="240" w:lineRule="auto"/>
        <w:jc w:val="both"/>
        <w:rPr>
          <w:sz w:val="28"/>
        </w:rPr>
      </w:pPr>
    </w:p>
    <w:bookmarkEnd w:id="6"/>
    <w:p w:rsidR="00D65EC1" w:rsidRPr="00847150" w:rsidRDefault="00D65EC1" w:rsidP="00D65EC1">
      <w:pPr>
        <w:spacing w:after="0" w:line="240" w:lineRule="auto"/>
        <w:jc w:val="both"/>
      </w:pPr>
      <w:r w:rsidRPr="00847150">
        <w:t xml:space="preserve">Upon receipt of a completed </w:t>
      </w:r>
      <w:r w:rsidR="000768FB" w:rsidRPr="00847150">
        <w:t xml:space="preserve">Suspected </w:t>
      </w:r>
      <w:r w:rsidRPr="00847150">
        <w:t>Money Laundering Report Form, the ML</w:t>
      </w:r>
      <w:r w:rsidR="00553FCF" w:rsidRPr="00847150">
        <w:t>N</w:t>
      </w:r>
      <w:r w:rsidRPr="00847150">
        <w:t xml:space="preserve">O will complete the </w:t>
      </w:r>
      <w:r w:rsidR="000768FB" w:rsidRPr="00847150">
        <w:t>ML</w:t>
      </w:r>
      <w:r w:rsidR="00553FCF" w:rsidRPr="00847150">
        <w:t>N</w:t>
      </w:r>
      <w:r w:rsidR="000768FB" w:rsidRPr="00847150">
        <w:t>O Report</w:t>
      </w:r>
      <w:r w:rsidRPr="00847150">
        <w:t>. If appropriate, the ML</w:t>
      </w:r>
      <w:r w:rsidR="00553FCF" w:rsidRPr="00847150">
        <w:t>N</w:t>
      </w:r>
      <w:r w:rsidRPr="00847150">
        <w:t>O will refer the case to the National Crime Agency (NCA) who will undertake any necessary investigation.</w:t>
      </w:r>
    </w:p>
    <w:p w:rsidR="00D65EC1" w:rsidRPr="00847150" w:rsidRDefault="00D65EC1" w:rsidP="00D65EC1">
      <w:pPr>
        <w:spacing w:after="0" w:line="240" w:lineRule="auto"/>
        <w:jc w:val="both"/>
        <w:rPr>
          <w:lang w:val="en"/>
        </w:rPr>
      </w:pPr>
    </w:p>
    <w:p w:rsidR="00D65EC1" w:rsidRPr="00847150" w:rsidRDefault="00D65EC1" w:rsidP="00D65EC1">
      <w:pPr>
        <w:spacing w:after="0" w:line="240" w:lineRule="auto"/>
        <w:jc w:val="both"/>
        <w:rPr>
          <w:lang w:val="en"/>
        </w:rPr>
      </w:pPr>
      <w:r w:rsidRPr="00847150">
        <w:rPr>
          <w:lang w:val="en"/>
        </w:rPr>
        <w:t>The ML</w:t>
      </w:r>
      <w:r w:rsidR="00553FCF" w:rsidRPr="00847150">
        <w:rPr>
          <w:lang w:val="en"/>
        </w:rPr>
        <w:t>N</w:t>
      </w:r>
      <w:r w:rsidRPr="00847150">
        <w:rPr>
          <w:lang w:val="en"/>
        </w:rPr>
        <w:t>O will keep a copy of all reported suspicious transactions together with additional back-up and reasons for final conclusions, whether reported to the NCA or not for a minimum of 2 years (5 years for all instances reported to the NCA).</w:t>
      </w:r>
    </w:p>
    <w:p w:rsidR="008971EC" w:rsidRPr="00847150" w:rsidRDefault="008971EC" w:rsidP="009C2EDD">
      <w:pPr>
        <w:spacing w:after="0" w:line="240" w:lineRule="auto"/>
        <w:jc w:val="both"/>
        <w:rPr>
          <w:lang w:val="en"/>
        </w:rPr>
      </w:pPr>
    </w:p>
    <w:p w:rsidR="00D65EC1" w:rsidRPr="00847150" w:rsidRDefault="00D65EC1" w:rsidP="00D65EC1">
      <w:pPr>
        <w:tabs>
          <w:tab w:val="left" w:pos="521"/>
        </w:tabs>
        <w:spacing w:before="3"/>
        <w:rPr>
          <w:lang w:val="en"/>
        </w:rPr>
      </w:pPr>
      <w:r w:rsidRPr="00847150">
        <w:rPr>
          <w:lang w:val="en"/>
        </w:rPr>
        <w:t>The University may follow disciplinary procedures against any member of staff who has committed a money laundering offence, which could result in dismissal.</w:t>
      </w:r>
    </w:p>
    <w:p w:rsidR="00847150" w:rsidRDefault="00847150" w:rsidP="009C2EDD">
      <w:pPr>
        <w:spacing w:after="0" w:line="240" w:lineRule="auto"/>
        <w:jc w:val="both"/>
        <w:rPr>
          <w:sz w:val="20"/>
          <w:szCs w:val="20"/>
        </w:rPr>
        <w:sectPr w:rsidR="00847150" w:rsidSect="00847150">
          <w:headerReference w:type="default" r:id="rId20"/>
          <w:pgSz w:w="11906" w:h="16838"/>
          <w:pgMar w:top="1440" w:right="1440" w:bottom="1440" w:left="1440" w:header="708" w:footer="708" w:gutter="0"/>
          <w:pgNumType w:start="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640"/>
        <w:gridCol w:w="2816"/>
      </w:tblGrid>
      <w:tr w:rsidR="005A2C51" w:rsidRPr="005A2C51" w:rsidTr="005A2C51">
        <w:tc>
          <w:tcPr>
            <w:tcW w:w="9242" w:type="dxa"/>
            <w:gridSpan w:val="3"/>
            <w:tcBorders>
              <w:top w:val="single" w:sz="4" w:space="0" w:color="auto"/>
              <w:left w:val="single" w:sz="4" w:space="0" w:color="auto"/>
              <w:bottom w:val="single" w:sz="4" w:space="0" w:color="auto"/>
              <w:right w:val="single" w:sz="4" w:space="0" w:color="auto"/>
            </w:tcBorders>
            <w:shd w:val="clear" w:color="auto" w:fill="D9D9D9"/>
            <w:hideMark/>
          </w:tcPr>
          <w:p w:rsidR="005A2C51" w:rsidRPr="00D74F42" w:rsidRDefault="005A2C51" w:rsidP="00D74F42">
            <w:pPr>
              <w:pStyle w:val="HeadingOne"/>
              <w:numPr>
                <w:ilvl w:val="0"/>
                <w:numId w:val="0"/>
              </w:numPr>
              <w:spacing w:after="0" w:line="240" w:lineRule="auto"/>
              <w:ind w:left="567"/>
              <w:jc w:val="both"/>
            </w:pPr>
            <w:r w:rsidRPr="00D74F42">
              <w:lastRenderedPageBreak/>
              <w:tab/>
            </w:r>
            <w:r w:rsidRPr="00D74F42">
              <w:tab/>
            </w:r>
            <w:r w:rsidRPr="00D74F42">
              <w:br w:type="page"/>
              <w:t>CONFIDENTIAL - Suspected Money Laundering Reporting Form</w:t>
            </w:r>
          </w:p>
          <w:p w:rsidR="005A2C51" w:rsidRDefault="005A2C51" w:rsidP="00D74F42">
            <w:pPr>
              <w:pStyle w:val="HeadingOne"/>
              <w:numPr>
                <w:ilvl w:val="0"/>
                <w:numId w:val="0"/>
              </w:numPr>
              <w:spacing w:after="0" w:line="240" w:lineRule="auto"/>
              <w:ind w:left="567"/>
              <w:jc w:val="both"/>
              <w:rPr>
                <w:b w:val="0"/>
              </w:rPr>
            </w:pPr>
            <w:r w:rsidRPr="000C653B">
              <w:rPr>
                <w:b w:val="0"/>
              </w:rPr>
              <w:t xml:space="preserve">Please complete and send this </w:t>
            </w:r>
            <w:r w:rsidR="002F7800" w:rsidRPr="000C653B">
              <w:rPr>
                <w:b w:val="0"/>
              </w:rPr>
              <w:t>by email</w:t>
            </w:r>
            <w:r w:rsidRPr="000C653B">
              <w:rPr>
                <w:b w:val="0"/>
              </w:rPr>
              <w:t xml:space="preserve"> to the ML</w:t>
            </w:r>
            <w:r w:rsidR="00553FCF" w:rsidRPr="000C653B">
              <w:rPr>
                <w:b w:val="0"/>
              </w:rPr>
              <w:t>N</w:t>
            </w:r>
            <w:r w:rsidRPr="000C653B">
              <w:rPr>
                <w:b w:val="0"/>
              </w:rPr>
              <w:t>O using the details below</w:t>
            </w:r>
          </w:p>
          <w:p w:rsidR="000C653B" w:rsidRPr="000C653B" w:rsidRDefault="000C653B" w:rsidP="00D74F42">
            <w:pPr>
              <w:pStyle w:val="HeadingOne"/>
              <w:numPr>
                <w:ilvl w:val="0"/>
                <w:numId w:val="0"/>
              </w:numPr>
              <w:spacing w:after="0" w:line="240" w:lineRule="auto"/>
              <w:ind w:left="567"/>
              <w:jc w:val="both"/>
              <w:rPr>
                <w:b w:val="0"/>
              </w:rPr>
            </w:pPr>
          </w:p>
        </w:tc>
      </w:tr>
      <w:tr w:rsidR="005A2C51" w:rsidRPr="005A2C51" w:rsidTr="005A2C51">
        <w:tc>
          <w:tcPr>
            <w:tcW w:w="4786" w:type="dxa"/>
            <w:tcBorders>
              <w:top w:val="single" w:sz="4" w:space="0" w:color="auto"/>
              <w:left w:val="single" w:sz="4" w:space="0" w:color="auto"/>
              <w:bottom w:val="single" w:sz="4" w:space="0" w:color="auto"/>
              <w:right w:val="single" w:sz="4" w:space="0" w:color="auto"/>
            </w:tcBorders>
          </w:tcPr>
          <w:p w:rsidR="005A2C51" w:rsidRPr="000C653B" w:rsidRDefault="005A2C51" w:rsidP="00D74F42">
            <w:pPr>
              <w:pStyle w:val="HeadingOne"/>
              <w:numPr>
                <w:ilvl w:val="0"/>
                <w:numId w:val="0"/>
              </w:numPr>
              <w:spacing w:after="0" w:line="240" w:lineRule="auto"/>
              <w:ind w:left="567"/>
              <w:jc w:val="both"/>
              <w:rPr>
                <w:b w:val="0"/>
              </w:rPr>
            </w:pPr>
            <w:r w:rsidRPr="000C653B">
              <w:rPr>
                <w:b w:val="0"/>
              </w:rPr>
              <w:t xml:space="preserve">From: </w:t>
            </w:r>
          </w:p>
        </w:tc>
        <w:tc>
          <w:tcPr>
            <w:tcW w:w="4456" w:type="dxa"/>
            <w:gridSpan w:val="2"/>
            <w:tcBorders>
              <w:top w:val="single" w:sz="4" w:space="0" w:color="auto"/>
              <w:left w:val="single" w:sz="4" w:space="0" w:color="auto"/>
              <w:bottom w:val="single" w:sz="4" w:space="0" w:color="auto"/>
              <w:right w:val="single" w:sz="4" w:space="0" w:color="auto"/>
            </w:tcBorders>
            <w:hideMark/>
          </w:tcPr>
          <w:p w:rsidR="005A2C51" w:rsidRPr="00D74F42" w:rsidRDefault="005A2C51" w:rsidP="00D74F42">
            <w:pPr>
              <w:pStyle w:val="HeadingOne"/>
              <w:numPr>
                <w:ilvl w:val="0"/>
                <w:numId w:val="0"/>
              </w:numPr>
              <w:spacing w:after="0" w:line="240" w:lineRule="auto"/>
              <w:ind w:left="502" w:hanging="360"/>
              <w:jc w:val="both"/>
            </w:pPr>
            <w:r w:rsidRPr="00D74F42">
              <w:t xml:space="preserve">School/Service: </w:t>
            </w:r>
          </w:p>
        </w:tc>
      </w:tr>
      <w:tr w:rsidR="005A2C51" w:rsidRPr="005A2C51" w:rsidTr="005A2C51">
        <w:tc>
          <w:tcPr>
            <w:tcW w:w="9242" w:type="dxa"/>
            <w:gridSpan w:val="3"/>
            <w:tcBorders>
              <w:top w:val="single" w:sz="4" w:space="0" w:color="auto"/>
              <w:left w:val="single" w:sz="4" w:space="0" w:color="auto"/>
              <w:bottom w:val="single" w:sz="4" w:space="0" w:color="auto"/>
              <w:right w:val="single" w:sz="4" w:space="0" w:color="auto"/>
            </w:tcBorders>
          </w:tcPr>
          <w:p w:rsidR="005A2C51" w:rsidRPr="000C653B" w:rsidRDefault="005A2C51" w:rsidP="00D74F42">
            <w:pPr>
              <w:pStyle w:val="HeadingOne"/>
              <w:numPr>
                <w:ilvl w:val="0"/>
                <w:numId w:val="0"/>
              </w:numPr>
              <w:spacing w:after="0" w:line="240" w:lineRule="auto"/>
              <w:ind w:left="567"/>
              <w:jc w:val="both"/>
              <w:rPr>
                <w:b w:val="0"/>
              </w:rPr>
            </w:pPr>
            <w:r w:rsidRPr="000C653B">
              <w:rPr>
                <w:b w:val="0"/>
              </w:rPr>
              <w:t xml:space="preserve">Contact </w:t>
            </w:r>
            <w:r w:rsidR="000F6519" w:rsidRPr="000C653B">
              <w:rPr>
                <w:b w:val="0"/>
              </w:rPr>
              <w:t>Details:</w:t>
            </w:r>
            <w:r w:rsidRPr="000C653B">
              <w:rPr>
                <w:b w:val="0"/>
              </w:rPr>
              <w:t xml:space="preserve"> </w:t>
            </w:r>
          </w:p>
          <w:p w:rsidR="00D74F42" w:rsidRPr="000C653B" w:rsidRDefault="00D74F42" w:rsidP="00D74F42">
            <w:pPr>
              <w:pStyle w:val="HeadingOne"/>
              <w:numPr>
                <w:ilvl w:val="0"/>
                <w:numId w:val="0"/>
              </w:numPr>
              <w:spacing w:after="0" w:line="240" w:lineRule="auto"/>
              <w:ind w:left="567"/>
              <w:jc w:val="both"/>
              <w:rPr>
                <w:b w:val="0"/>
              </w:rPr>
            </w:pPr>
          </w:p>
        </w:tc>
      </w:tr>
      <w:tr w:rsidR="005A2C51" w:rsidRPr="005A2C51" w:rsidTr="005A2C51">
        <w:tc>
          <w:tcPr>
            <w:tcW w:w="9242" w:type="dxa"/>
            <w:gridSpan w:val="3"/>
            <w:tcBorders>
              <w:top w:val="single" w:sz="4" w:space="0" w:color="auto"/>
              <w:left w:val="single" w:sz="4" w:space="0" w:color="auto"/>
              <w:bottom w:val="single" w:sz="4" w:space="0" w:color="auto"/>
              <w:right w:val="single" w:sz="4" w:space="0" w:color="auto"/>
            </w:tcBorders>
            <w:shd w:val="clear" w:color="auto" w:fill="D9D9D9"/>
            <w:hideMark/>
          </w:tcPr>
          <w:p w:rsidR="005A2C51" w:rsidRPr="000C653B" w:rsidRDefault="005A2C51" w:rsidP="00D74F42">
            <w:pPr>
              <w:pStyle w:val="HeadingOne"/>
              <w:numPr>
                <w:ilvl w:val="0"/>
                <w:numId w:val="0"/>
              </w:numPr>
              <w:spacing w:after="0" w:line="240" w:lineRule="auto"/>
              <w:ind w:left="567"/>
              <w:jc w:val="both"/>
              <w:rPr>
                <w:b w:val="0"/>
              </w:rPr>
            </w:pPr>
            <w:r w:rsidRPr="00D74F42">
              <w:t xml:space="preserve">DETAILS OF SUSPECTED OFFENCE </w:t>
            </w:r>
            <w:r w:rsidRPr="000C653B">
              <w:rPr>
                <w:b w:val="0"/>
              </w:rPr>
              <w:t>[Please continue on a separate sheet if necessary]</w:t>
            </w:r>
          </w:p>
          <w:p w:rsidR="00D74F42" w:rsidRPr="00D74F42" w:rsidRDefault="00D74F42" w:rsidP="00D74F42">
            <w:pPr>
              <w:pStyle w:val="HeadingOne"/>
              <w:numPr>
                <w:ilvl w:val="0"/>
                <w:numId w:val="0"/>
              </w:numPr>
              <w:spacing w:after="0" w:line="240" w:lineRule="auto"/>
              <w:ind w:left="567"/>
              <w:jc w:val="both"/>
            </w:pPr>
          </w:p>
        </w:tc>
      </w:tr>
      <w:tr w:rsidR="005A2C51" w:rsidRPr="005A2C51" w:rsidTr="005A2C51">
        <w:tc>
          <w:tcPr>
            <w:tcW w:w="9242" w:type="dxa"/>
            <w:gridSpan w:val="3"/>
            <w:tcBorders>
              <w:top w:val="single" w:sz="4" w:space="0" w:color="auto"/>
              <w:left w:val="single" w:sz="4" w:space="0" w:color="auto"/>
              <w:bottom w:val="single" w:sz="4" w:space="0" w:color="auto"/>
              <w:right w:val="single" w:sz="4" w:space="0" w:color="auto"/>
            </w:tcBorders>
          </w:tcPr>
          <w:p w:rsidR="005A2C51" w:rsidRPr="00D74F42" w:rsidRDefault="005A2C51" w:rsidP="00D74F42">
            <w:pPr>
              <w:pStyle w:val="HeadingOne"/>
              <w:numPr>
                <w:ilvl w:val="0"/>
                <w:numId w:val="0"/>
              </w:numPr>
              <w:spacing w:after="0" w:line="240" w:lineRule="auto"/>
              <w:ind w:left="567"/>
              <w:jc w:val="both"/>
              <w:rPr>
                <w:b w:val="0"/>
              </w:rPr>
            </w:pPr>
            <w:r w:rsidRPr="00D74F42">
              <w:rPr>
                <w:b w:val="0"/>
              </w:rPr>
              <w:t xml:space="preserve">Name(s) and address(es) of person(s) involved, including relationship with the University: </w:t>
            </w:r>
          </w:p>
          <w:p w:rsidR="00D74F42" w:rsidRPr="00D74F42" w:rsidRDefault="00D74F42" w:rsidP="00D74F42">
            <w:pPr>
              <w:pStyle w:val="HeadingOne"/>
              <w:numPr>
                <w:ilvl w:val="0"/>
                <w:numId w:val="0"/>
              </w:numPr>
              <w:spacing w:after="0" w:line="240" w:lineRule="auto"/>
              <w:ind w:left="567"/>
              <w:jc w:val="both"/>
            </w:pPr>
          </w:p>
          <w:p w:rsidR="005A2C51" w:rsidRPr="00D74F42" w:rsidRDefault="005A2C51" w:rsidP="00D74F42">
            <w:pPr>
              <w:pStyle w:val="HeadingOne"/>
              <w:numPr>
                <w:ilvl w:val="0"/>
                <w:numId w:val="0"/>
              </w:numPr>
              <w:spacing w:after="0" w:line="240" w:lineRule="auto"/>
              <w:ind w:left="567"/>
              <w:jc w:val="both"/>
            </w:pPr>
          </w:p>
          <w:p w:rsidR="005A2C51" w:rsidRPr="00D74F42" w:rsidRDefault="005A2C51" w:rsidP="00D74F42">
            <w:pPr>
              <w:pStyle w:val="HeadingOne"/>
              <w:numPr>
                <w:ilvl w:val="0"/>
                <w:numId w:val="0"/>
              </w:numPr>
              <w:spacing w:after="0" w:line="240" w:lineRule="auto"/>
              <w:ind w:left="567"/>
              <w:jc w:val="both"/>
            </w:pPr>
          </w:p>
        </w:tc>
      </w:tr>
      <w:tr w:rsidR="005A2C51" w:rsidRPr="005A2C51" w:rsidTr="005A2C51">
        <w:tc>
          <w:tcPr>
            <w:tcW w:w="9242" w:type="dxa"/>
            <w:gridSpan w:val="3"/>
            <w:tcBorders>
              <w:top w:val="single" w:sz="4" w:space="0" w:color="auto"/>
              <w:left w:val="single" w:sz="4" w:space="0" w:color="auto"/>
              <w:bottom w:val="single" w:sz="4" w:space="0" w:color="auto"/>
              <w:right w:val="single" w:sz="4" w:space="0" w:color="auto"/>
            </w:tcBorders>
          </w:tcPr>
          <w:p w:rsidR="005A2C51" w:rsidRPr="00D74F42" w:rsidRDefault="005A2C51" w:rsidP="00D74F42">
            <w:pPr>
              <w:pStyle w:val="HeadingOne"/>
              <w:numPr>
                <w:ilvl w:val="0"/>
                <w:numId w:val="0"/>
              </w:numPr>
              <w:spacing w:after="0" w:line="240" w:lineRule="auto"/>
              <w:ind w:left="567"/>
              <w:jc w:val="both"/>
              <w:rPr>
                <w:b w:val="0"/>
              </w:rPr>
            </w:pPr>
            <w:r w:rsidRPr="00D74F42">
              <w:rPr>
                <w:b w:val="0"/>
              </w:rPr>
              <w:t>Nature, value and timing of activity involved:</w:t>
            </w:r>
          </w:p>
          <w:p w:rsidR="005A2C51" w:rsidRDefault="005A2C51" w:rsidP="00D74F42">
            <w:pPr>
              <w:pStyle w:val="HeadingOne"/>
              <w:numPr>
                <w:ilvl w:val="0"/>
                <w:numId w:val="0"/>
              </w:numPr>
              <w:spacing w:after="0" w:line="240" w:lineRule="auto"/>
              <w:ind w:left="567"/>
              <w:jc w:val="both"/>
            </w:pPr>
          </w:p>
          <w:p w:rsidR="00D74F42" w:rsidRPr="00D74F42" w:rsidRDefault="00D74F42" w:rsidP="00D74F42">
            <w:pPr>
              <w:pStyle w:val="HeadingOne"/>
              <w:numPr>
                <w:ilvl w:val="0"/>
                <w:numId w:val="0"/>
              </w:numPr>
              <w:spacing w:after="0" w:line="240" w:lineRule="auto"/>
              <w:ind w:left="567"/>
              <w:jc w:val="both"/>
            </w:pPr>
          </w:p>
          <w:p w:rsidR="005A2C51" w:rsidRPr="00D74F42" w:rsidRDefault="005A2C51" w:rsidP="00D74F42">
            <w:pPr>
              <w:pStyle w:val="HeadingOne"/>
              <w:numPr>
                <w:ilvl w:val="0"/>
                <w:numId w:val="0"/>
              </w:numPr>
              <w:spacing w:after="0" w:line="240" w:lineRule="auto"/>
              <w:ind w:left="567"/>
              <w:jc w:val="both"/>
            </w:pPr>
          </w:p>
        </w:tc>
      </w:tr>
      <w:tr w:rsidR="005A2C51" w:rsidRPr="005A2C51" w:rsidTr="005A2C51">
        <w:tc>
          <w:tcPr>
            <w:tcW w:w="9242" w:type="dxa"/>
            <w:gridSpan w:val="3"/>
            <w:tcBorders>
              <w:top w:val="single" w:sz="4" w:space="0" w:color="auto"/>
              <w:left w:val="single" w:sz="4" w:space="0" w:color="auto"/>
              <w:bottom w:val="single" w:sz="4" w:space="0" w:color="auto"/>
              <w:right w:val="single" w:sz="4" w:space="0" w:color="auto"/>
            </w:tcBorders>
          </w:tcPr>
          <w:p w:rsidR="005A2C51" w:rsidRPr="00D74F42" w:rsidRDefault="005A2C51" w:rsidP="00D74F42">
            <w:pPr>
              <w:pStyle w:val="HeadingOne"/>
              <w:numPr>
                <w:ilvl w:val="0"/>
                <w:numId w:val="0"/>
              </w:numPr>
              <w:spacing w:after="0" w:line="240" w:lineRule="auto"/>
              <w:ind w:left="567"/>
              <w:jc w:val="both"/>
              <w:rPr>
                <w:b w:val="0"/>
              </w:rPr>
            </w:pPr>
            <w:r w:rsidRPr="00D74F42">
              <w:rPr>
                <w:b w:val="0"/>
              </w:rPr>
              <w:t>Nature of suspicions regarding such activity:</w:t>
            </w:r>
          </w:p>
          <w:p w:rsidR="005A2C51" w:rsidRDefault="005A2C51" w:rsidP="00D74F42">
            <w:pPr>
              <w:pStyle w:val="HeadingOne"/>
              <w:numPr>
                <w:ilvl w:val="0"/>
                <w:numId w:val="0"/>
              </w:numPr>
              <w:spacing w:after="0" w:line="240" w:lineRule="auto"/>
              <w:ind w:left="567"/>
              <w:jc w:val="both"/>
            </w:pPr>
          </w:p>
          <w:p w:rsidR="00D74F42" w:rsidRPr="00D74F42" w:rsidRDefault="00D74F42" w:rsidP="00D74F42">
            <w:pPr>
              <w:pStyle w:val="HeadingOne"/>
              <w:numPr>
                <w:ilvl w:val="0"/>
                <w:numId w:val="0"/>
              </w:numPr>
              <w:spacing w:after="0" w:line="240" w:lineRule="auto"/>
              <w:ind w:left="567"/>
              <w:jc w:val="both"/>
            </w:pPr>
          </w:p>
          <w:p w:rsidR="005A2C51" w:rsidRPr="00D74F42" w:rsidRDefault="005A2C51" w:rsidP="00D74F42">
            <w:pPr>
              <w:pStyle w:val="HeadingOne"/>
              <w:numPr>
                <w:ilvl w:val="0"/>
                <w:numId w:val="0"/>
              </w:numPr>
              <w:spacing w:after="0" w:line="240" w:lineRule="auto"/>
              <w:ind w:left="567"/>
              <w:jc w:val="both"/>
            </w:pPr>
          </w:p>
        </w:tc>
      </w:tr>
      <w:tr w:rsidR="005A2C51" w:rsidRPr="005A2C51" w:rsidTr="005A2C51">
        <w:tc>
          <w:tcPr>
            <w:tcW w:w="9242" w:type="dxa"/>
            <w:gridSpan w:val="3"/>
            <w:tcBorders>
              <w:top w:val="single" w:sz="4" w:space="0" w:color="auto"/>
              <w:left w:val="single" w:sz="4" w:space="0" w:color="auto"/>
              <w:bottom w:val="single" w:sz="4" w:space="0" w:color="auto"/>
              <w:right w:val="single" w:sz="4" w:space="0" w:color="auto"/>
            </w:tcBorders>
          </w:tcPr>
          <w:p w:rsidR="005A2C51" w:rsidRPr="00D74F42" w:rsidRDefault="005A2C51" w:rsidP="00D74F42">
            <w:pPr>
              <w:pStyle w:val="HeadingOne"/>
              <w:numPr>
                <w:ilvl w:val="0"/>
                <w:numId w:val="0"/>
              </w:numPr>
              <w:spacing w:after="0" w:line="240" w:lineRule="auto"/>
              <w:ind w:left="567"/>
              <w:jc w:val="both"/>
              <w:rPr>
                <w:b w:val="0"/>
              </w:rPr>
            </w:pPr>
            <w:r w:rsidRPr="00D74F42">
              <w:rPr>
                <w:b w:val="0"/>
              </w:rPr>
              <w:t xml:space="preserve">Details of any enquiries you may have undertaken to date: </w:t>
            </w:r>
          </w:p>
          <w:p w:rsidR="005A2C51" w:rsidRDefault="005A2C51" w:rsidP="00D74F42">
            <w:pPr>
              <w:pStyle w:val="HeadingOne"/>
              <w:numPr>
                <w:ilvl w:val="0"/>
                <w:numId w:val="0"/>
              </w:numPr>
              <w:spacing w:after="0" w:line="240" w:lineRule="auto"/>
              <w:ind w:left="567"/>
              <w:jc w:val="both"/>
            </w:pPr>
          </w:p>
          <w:p w:rsidR="00D74F42" w:rsidRPr="00D74F42" w:rsidRDefault="00D74F42" w:rsidP="00D74F42">
            <w:pPr>
              <w:pStyle w:val="HeadingOne"/>
              <w:numPr>
                <w:ilvl w:val="0"/>
                <w:numId w:val="0"/>
              </w:numPr>
              <w:spacing w:after="0" w:line="240" w:lineRule="auto"/>
              <w:ind w:left="567"/>
              <w:jc w:val="both"/>
            </w:pPr>
          </w:p>
          <w:p w:rsidR="005A2C51" w:rsidRPr="00D74F42" w:rsidRDefault="005A2C51" w:rsidP="00D74F42">
            <w:pPr>
              <w:pStyle w:val="HeadingOne"/>
              <w:numPr>
                <w:ilvl w:val="0"/>
                <w:numId w:val="0"/>
              </w:numPr>
              <w:spacing w:after="0" w:line="240" w:lineRule="auto"/>
              <w:ind w:left="567"/>
              <w:jc w:val="both"/>
            </w:pPr>
          </w:p>
        </w:tc>
      </w:tr>
      <w:tr w:rsidR="005A2C51" w:rsidRPr="005A2C51" w:rsidTr="005A2C51">
        <w:tc>
          <w:tcPr>
            <w:tcW w:w="9242" w:type="dxa"/>
            <w:gridSpan w:val="3"/>
            <w:tcBorders>
              <w:top w:val="single" w:sz="4" w:space="0" w:color="auto"/>
              <w:left w:val="single" w:sz="4" w:space="0" w:color="auto"/>
              <w:bottom w:val="single" w:sz="4" w:space="0" w:color="auto"/>
              <w:right w:val="single" w:sz="4" w:space="0" w:color="auto"/>
            </w:tcBorders>
          </w:tcPr>
          <w:p w:rsidR="005A2C51" w:rsidRPr="00D74F42" w:rsidRDefault="005A2C51" w:rsidP="00D74F42">
            <w:pPr>
              <w:pStyle w:val="HeadingOne"/>
              <w:numPr>
                <w:ilvl w:val="0"/>
                <w:numId w:val="0"/>
              </w:numPr>
              <w:spacing w:after="0" w:line="240" w:lineRule="auto"/>
              <w:ind w:left="567"/>
              <w:jc w:val="both"/>
              <w:rPr>
                <w:b w:val="0"/>
              </w:rPr>
            </w:pPr>
            <w:r w:rsidRPr="00D74F42">
              <w:rPr>
                <w:b w:val="0"/>
              </w:rPr>
              <w:t>Have you discussed you</w:t>
            </w:r>
            <w:r w:rsidR="00D65EC1" w:rsidRPr="00D74F42">
              <w:rPr>
                <w:b w:val="0"/>
              </w:rPr>
              <w:t>r</w:t>
            </w:r>
            <w:r w:rsidRPr="00D74F42">
              <w:rPr>
                <w:b w:val="0"/>
              </w:rPr>
              <w:t xml:space="preserve"> suspicions with anyone? And if so, on what basis? </w:t>
            </w:r>
          </w:p>
          <w:p w:rsidR="005A2C51" w:rsidRPr="00D74F42" w:rsidRDefault="005A2C51" w:rsidP="00D74F42">
            <w:pPr>
              <w:pStyle w:val="HeadingOne"/>
              <w:numPr>
                <w:ilvl w:val="0"/>
                <w:numId w:val="0"/>
              </w:numPr>
              <w:spacing w:after="0" w:line="240" w:lineRule="auto"/>
              <w:ind w:left="567"/>
              <w:jc w:val="both"/>
            </w:pPr>
          </w:p>
          <w:p w:rsidR="005A2C51" w:rsidRDefault="005A2C51" w:rsidP="00D74F42">
            <w:pPr>
              <w:pStyle w:val="HeadingOne"/>
              <w:numPr>
                <w:ilvl w:val="0"/>
                <w:numId w:val="0"/>
              </w:numPr>
              <w:spacing w:after="0" w:line="240" w:lineRule="auto"/>
              <w:ind w:left="567"/>
              <w:jc w:val="both"/>
            </w:pPr>
          </w:p>
          <w:p w:rsidR="00D74F42" w:rsidRPr="00D74F42" w:rsidRDefault="00D74F42" w:rsidP="00D74F42">
            <w:pPr>
              <w:pStyle w:val="HeadingOne"/>
              <w:numPr>
                <w:ilvl w:val="0"/>
                <w:numId w:val="0"/>
              </w:numPr>
              <w:spacing w:after="0" w:line="240" w:lineRule="auto"/>
              <w:ind w:left="567"/>
              <w:jc w:val="both"/>
            </w:pPr>
          </w:p>
        </w:tc>
      </w:tr>
      <w:tr w:rsidR="005A2C51" w:rsidRPr="005A2C51" w:rsidTr="005A2C51">
        <w:tc>
          <w:tcPr>
            <w:tcW w:w="9242" w:type="dxa"/>
            <w:gridSpan w:val="3"/>
            <w:tcBorders>
              <w:top w:val="single" w:sz="4" w:space="0" w:color="auto"/>
              <w:left w:val="single" w:sz="4" w:space="0" w:color="auto"/>
              <w:bottom w:val="single" w:sz="4" w:space="0" w:color="auto"/>
              <w:right w:val="single" w:sz="4" w:space="0" w:color="auto"/>
            </w:tcBorders>
          </w:tcPr>
          <w:p w:rsidR="005A2C51" w:rsidRPr="00D74F42" w:rsidRDefault="005A2C51" w:rsidP="00D74F42">
            <w:pPr>
              <w:pStyle w:val="HeadingOne"/>
              <w:numPr>
                <w:ilvl w:val="0"/>
                <w:numId w:val="0"/>
              </w:numPr>
              <w:spacing w:after="0" w:line="240" w:lineRule="auto"/>
              <w:ind w:left="567"/>
              <w:jc w:val="both"/>
              <w:rPr>
                <w:b w:val="0"/>
              </w:rPr>
            </w:pPr>
            <w:r w:rsidRPr="00D74F42">
              <w:rPr>
                <w:b w:val="0"/>
              </w:rPr>
              <w:t xml:space="preserve">Is any aspect of the transaction(s) outstanding and requiring consent to progress? </w:t>
            </w:r>
          </w:p>
          <w:p w:rsidR="005A2C51" w:rsidRPr="00D74F42" w:rsidRDefault="005A2C51" w:rsidP="00D74F42">
            <w:pPr>
              <w:pStyle w:val="HeadingOne"/>
              <w:numPr>
                <w:ilvl w:val="0"/>
                <w:numId w:val="0"/>
              </w:numPr>
              <w:spacing w:after="0" w:line="240" w:lineRule="auto"/>
              <w:ind w:left="567"/>
              <w:jc w:val="both"/>
            </w:pPr>
          </w:p>
          <w:p w:rsidR="005A2C51" w:rsidRDefault="005A2C51" w:rsidP="00D74F42">
            <w:pPr>
              <w:pStyle w:val="HeadingOne"/>
              <w:numPr>
                <w:ilvl w:val="0"/>
                <w:numId w:val="0"/>
              </w:numPr>
              <w:spacing w:after="0" w:line="240" w:lineRule="auto"/>
              <w:ind w:left="567"/>
              <w:jc w:val="both"/>
            </w:pPr>
          </w:p>
          <w:p w:rsidR="00D74F42" w:rsidRPr="00D74F42" w:rsidRDefault="00D74F42" w:rsidP="00D74F42">
            <w:pPr>
              <w:pStyle w:val="HeadingOne"/>
              <w:numPr>
                <w:ilvl w:val="0"/>
                <w:numId w:val="0"/>
              </w:numPr>
              <w:spacing w:after="0" w:line="240" w:lineRule="auto"/>
              <w:ind w:left="567"/>
              <w:jc w:val="both"/>
            </w:pPr>
          </w:p>
        </w:tc>
      </w:tr>
      <w:tr w:rsidR="005A2C51" w:rsidRPr="005A2C51" w:rsidTr="005A2C51">
        <w:tc>
          <w:tcPr>
            <w:tcW w:w="9242" w:type="dxa"/>
            <w:gridSpan w:val="3"/>
            <w:tcBorders>
              <w:top w:val="single" w:sz="4" w:space="0" w:color="auto"/>
              <w:left w:val="single" w:sz="4" w:space="0" w:color="auto"/>
              <w:bottom w:val="single" w:sz="4" w:space="0" w:color="auto"/>
              <w:right w:val="single" w:sz="4" w:space="0" w:color="auto"/>
            </w:tcBorders>
          </w:tcPr>
          <w:p w:rsidR="005A2C51" w:rsidRPr="00D74F42" w:rsidRDefault="005A2C51" w:rsidP="00D74F42">
            <w:pPr>
              <w:pStyle w:val="HeadingOne"/>
              <w:numPr>
                <w:ilvl w:val="0"/>
                <w:numId w:val="0"/>
              </w:numPr>
              <w:spacing w:after="0" w:line="240" w:lineRule="auto"/>
              <w:ind w:left="567"/>
              <w:jc w:val="both"/>
              <w:rPr>
                <w:b w:val="0"/>
              </w:rPr>
            </w:pPr>
            <w:r w:rsidRPr="00D74F42">
              <w:rPr>
                <w:b w:val="0"/>
              </w:rPr>
              <w:t>Any other relevant information that may be useful?</w:t>
            </w:r>
          </w:p>
          <w:p w:rsidR="005A2C51" w:rsidRDefault="005A2C51" w:rsidP="00D74F42">
            <w:pPr>
              <w:pStyle w:val="HeadingOne"/>
              <w:numPr>
                <w:ilvl w:val="0"/>
                <w:numId w:val="0"/>
              </w:numPr>
              <w:spacing w:after="0" w:line="240" w:lineRule="auto"/>
              <w:ind w:left="567"/>
              <w:jc w:val="both"/>
            </w:pPr>
          </w:p>
          <w:p w:rsidR="00D74F42" w:rsidRPr="00D74F42" w:rsidRDefault="00D74F42" w:rsidP="00D74F42">
            <w:pPr>
              <w:pStyle w:val="HeadingOne"/>
              <w:numPr>
                <w:ilvl w:val="0"/>
                <w:numId w:val="0"/>
              </w:numPr>
              <w:spacing w:after="0" w:line="240" w:lineRule="auto"/>
              <w:ind w:left="567"/>
              <w:jc w:val="both"/>
            </w:pPr>
          </w:p>
        </w:tc>
      </w:tr>
      <w:tr w:rsidR="005A2C51" w:rsidRPr="005A2C51" w:rsidTr="005A2C51">
        <w:tc>
          <w:tcPr>
            <w:tcW w:w="6426" w:type="dxa"/>
            <w:gridSpan w:val="2"/>
            <w:tcBorders>
              <w:top w:val="single" w:sz="4" w:space="0" w:color="auto"/>
              <w:left w:val="single" w:sz="4" w:space="0" w:color="auto"/>
              <w:bottom w:val="single" w:sz="4" w:space="0" w:color="auto"/>
              <w:right w:val="single" w:sz="4" w:space="0" w:color="auto"/>
            </w:tcBorders>
          </w:tcPr>
          <w:p w:rsidR="005A2C51" w:rsidRPr="000C653B" w:rsidRDefault="005A2C51" w:rsidP="00D74F42">
            <w:pPr>
              <w:pStyle w:val="HeadingOne"/>
              <w:numPr>
                <w:ilvl w:val="0"/>
                <w:numId w:val="0"/>
              </w:numPr>
              <w:spacing w:after="0" w:line="240" w:lineRule="auto"/>
              <w:ind w:left="567"/>
              <w:jc w:val="both"/>
              <w:rPr>
                <w:b w:val="0"/>
              </w:rPr>
            </w:pPr>
            <w:r w:rsidRPr="000C653B">
              <w:rPr>
                <w:b w:val="0"/>
              </w:rPr>
              <w:t>Signed:</w:t>
            </w:r>
          </w:p>
          <w:p w:rsidR="000C653B" w:rsidRPr="000C653B" w:rsidRDefault="000C653B" w:rsidP="00D74F42">
            <w:pPr>
              <w:pStyle w:val="HeadingOne"/>
              <w:numPr>
                <w:ilvl w:val="0"/>
                <w:numId w:val="0"/>
              </w:numPr>
              <w:spacing w:after="0" w:line="240" w:lineRule="auto"/>
              <w:ind w:left="567"/>
              <w:jc w:val="both"/>
              <w:rPr>
                <w:b w:val="0"/>
              </w:rPr>
            </w:pPr>
          </w:p>
        </w:tc>
        <w:tc>
          <w:tcPr>
            <w:tcW w:w="2816" w:type="dxa"/>
            <w:tcBorders>
              <w:top w:val="single" w:sz="4" w:space="0" w:color="auto"/>
              <w:left w:val="single" w:sz="4" w:space="0" w:color="auto"/>
              <w:bottom w:val="single" w:sz="4" w:space="0" w:color="auto"/>
              <w:right w:val="single" w:sz="4" w:space="0" w:color="auto"/>
            </w:tcBorders>
            <w:hideMark/>
          </w:tcPr>
          <w:p w:rsidR="005A2C51" w:rsidRPr="000C653B" w:rsidRDefault="005A2C51" w:rsidP="00D74F42">
            <w:pPr>
              <w:pStyle w:val="HeadingOne"/>
              <w:spacing w:after="0" w:line="240" w:lineRule="auto"/>
              <w:ind w:left="567" w:hanging="567"/>
              <w:jc w:val="both"/>
              <w:rPr>
                <w:b w:val="0"/>
              </w:rPr>
            </w:pPr>
            <w:r w:rsidRPr="000C653B">
              <w:rPr>
                <w:b w:val="0"/>
              </w:rPr>
              <w:t>Date:</w:t>
            </w:r>
          </w:p>
        </w:tc>
      </w:tr>
      <w:tr w:rsidR="005A2C51" w:rsidRPr="005A2C51" w:rsidTr="005A2C51">
        <w:tc>
          <w:tcPr>
            <w:tcW w:w="9242" w:type="dxa"/>
            <w:gridSpan w:val="3"/>
            <w:tcBorders>
              <w:top w:val="single" w:sz="4" w:space="0" w:color="auto"/>
              <w:left w:val="single" w:sz="4" w:space="0" w:color="auto"/>
              <w:bottom w:val="single" w:sz="4" w:space="0" w:color="auto"/>
              <w:right w:val="single" w:sz="4" w:space="0" w:color="auto"/>
            </w:tcBorders>
            <w:hideMark/>
          </w:tcPr>
          <w:p w:rsidR="005A2C51" w:rsidRDefault="005A2C51" w:rsidP="00D74F42">
            <w:pPr>
              <w:pStyle w:val="HeadingOne"/>
              <w:numPr>
                <w:ilvl w:val="0"/>
                <w:numId w:val="0"/>
              </w:numPr>
              <w:spacing w:after="0" w:line="240" w:lineRule="auto"/>
              <w:ind w:left="567"/>
              <w:jc w:val="both"/>
              <w:rPr>
                <w:b w:val="0"/>
              </w:rPr>
            </w:pPr>
            <w:r w:rsidRPr="00D74F42">
              <w:rPr>
                <w:b w:val="0"/>
              </w:rPr>
              <w:t>Please do not discuss the content of this report with anyone you believe to be involved in the suspected money laundering activity described. To do so may constitute a tipping off offence, which carries a maximum penalty of 5 years’ imprisonment and/or an unlimited fine.</w:t>
            </w:r>
          </w:p>
          <w:p w:rsidR="000C653B" w:rsidRPr="00D74F42" w:rsidRDefault="000C653B" w:rsidP="00D74F42">
            <w:pPr>
              <w:pStyle w:val="HeadingOne"/>
              <w:numPr>
                <w:ilvl w:val="0"/>
                <w:numId w:val="0"/>
              </w:numPr>
              <w:spacing w:after="0" w:line="240" w:lineRule="auto"/>
              <w:ind w:left="567"/>
              <w:jc w:val="both"/>
              <w:rPr>
                <w:b w:val="0"/>
              </w:rPr>
            </w:pPr>
          </w:p>
        </w:tc>
      </w:tr>
    </w:tbl>
    <w:p w:rsidR="00847150" w:rsidRDefault="00847150" w:rsidP="005A2C51">
      <w:pPr>
        <w:rPr>
          <w:sz w:val="20"/>
          <w:szCs w:val="20"/>
        </w:rPr>
        <w:sectPr w:rsidR="00847150" w:rsidSect="00847150">
          <w:headerReference w:type="default" r:id="rId21"/>
          <w:footerReference w:type="default" r:id="rId22"/>
          <w:pgSz w:w="11906" w:h="16838"/>
          <w:pgMar w:top="1440" w:right="1440" w:bottom="1440" w:left="1440" w:header="708" w:footer="708" w:gutter="0"/>
          <w:pgNumType w:start="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2687"/>
        <w:gridCol w:w="2962"/>
        <w:gridCol w:w="1431"/>
        <w:gridCol w:w="1196"/>
      </w:tblGrid>
      <w:tr w:rsidR="005A2C51" w:rsidRPr="005A2C51" w:rsidTr="005A2C51">
        <w:tc>
          <w:tcPr>
            <w:tcW w:w="9240" w:type="dxa"/>
            <w:gridSpan w:val="5"/>
            <w:tcBorders>
              <w:top w:val="single" w:sz="4" w:space="0" w:color="auto"/>
              <w:left w:val="single" w:sz="4" w:space="0" w:color="auto"/>
              <w:bottom w:val="single" w:sz="4" w:space="0" w:color="auto"/>
              <w:right w:val="single" w:sz="4" w:space="0" w:color="auto"/>
            </w:tcBorders>
            <w:shd w:val="clear" w:color="auto" w:fill="D9D9D9"/>
            <w:hideMark/>
          </w:tcPr>
          <w:p w:rsidR="005A2C51" w:rsidRPr="005A2C51" w:rsidRDefault="005A2C51" w:rsidP="00553FCF">
            <w:pPr>
              <w:widowControl w:val="0"/>
              <w:spacing w:line="256" w:lineRule="auto"/>
              <w:jc w:val="center"/>
              <w:rPr>
                <w:rFonts w:cs="Arial"/>
                <w:sz w:val="20"/>
                <w:szCs w:val="20"/>
              </w:rPr>
            </w:pPr>
            <w:r w:rsidRPr="005A2C51">
              <w:rPr>
                <w:rFonts w:cs="Arial"/>
                <w:sz w:val="20"/>
                <w:szCs w:val="20"/>
              </w:rPr>
              <w:lastRenderedPageBreak/>
              <w:br w:type="page"/>
            </w:r>
            <w:r w:rsidRPr="005A2C51">
              <w:rPr>
                <w:rFonts w:cs="Arial"/>
                <w:b/>
                <w:bCs/>
                <w:sz w:val="20"/>
                <w:szCs w:val="20"/>
              </w:rPr>
              <w:t xml:space="preserve"> ML</w:t>
            </w:r>
            <w:r w:rsidR="00553FCF">
              <w:rPr>
                <w:rFonts w:cs="Arial"/>
                <w:b/>
                <w:bCs/>
                <w:sz w:val="20"/>
                <w:szCs w:val="20"/>
              </w:rPr>
              <w:t>N</w:t>
            </w:r>
            <w:r w:rsidRPr="005A2C51">
              <w:rPr>
                <w:rFonts w:cs="Arial"/>
                <w:b/>
                <w:bCs/>
                <w:sz w:val="20"/>
                <w:szCs w:val="20"/>
              </w:rPr>
              <w:t>O Report (to be completed by ML</w:t>
            </w:r>
            <w:r w:rsidR="00553FCF">
              <w:rPr>
                <w:rFonts w:cs="Arial"/>
                <w:b/>
                <w:bCs/>
                <w:sz w:val="20"/>
                <w:szCs w:val="20"/>
              </w:rPr>
              <w:t>N</w:t>
            </w:r>
            <w:r w:rsidRPr="005A2C51">
              <w:rPr>
                <w:rFonts w:cs="Arial"/>
                <w:b/>
                <w:bCs/>
                <w:sz w:val="20"/>
                <w:szCs w:val="20"/>
              </w:rPr>
              <w:t>O only)</w:t>
            </w:r>
          </w:p>
        </w:tc>
      </w:tr>
      <w:tr w:rsidR="005A2C51" w:rsidRPr="005A2C51" w:rsidTr="005A2C51">
        <w:tc>
          <w:tcPr>
            <w:tcW w:w="3651" w:type="dxa"/>
            <w:gridSpan w:val="2"/>
            <w:tcBorders>
              <w:top w:val="single" w:sz="4" w:space="0" w:color="auto"/>
              <w:left w:val="single" w:sz="4" w:space="0" w:color="auto"/>
              <w:bottom w:val="single" w:sz="4" w:space="0" w:color="auto"/>
              <w:right w:val="single" w:sz="4" w:space="0" w:color="auto"/>
            </w:tcBorders>
          </w:tcPr>
          <w:p w:rsidR="005A2C51" w:rsidRPr="005A2C51" w:rsidRDefault="005A2C51">
            <w:pPr>
              <w:spacing w:line="256" w:lineRule="auto"/>
              <w:rPr>
                <w:rFonts w:cs="Arial"/>
                <w:color w:val="000000"/>
                <w:sz w:val="20"/>
                <w:szCs w:val="20"/>
                <w:lang w:eastAsia="en-GB"/>
              </w:rPr>
            </w:pPr>
            <w:r w:rsidRPr="005A2C51">
              <w:rPr>
                <w:rFonts w:cs="Arial"/>
                <w:color w:val="000000"/>
                <w:sz w:val="20"/>
                <w:szCs w:val="20"/>
                <w:lang w:eastAsia="en-GB"/>
              </w:rPr>
              <w:t>Date report received:     /     /</w:t>
            </w:r>
          </w:p>
          <w:p w:rsidR="005A2C51" w:rsidRPr="005A2C51" w:rsidRDefault="005A2C51">
            <w:pPr>
              <w:widowControl w:val="0"/>
              <w:spacing w:line="256" w:lineRule="auto"/>
              <w:rPr>
                <w:rFonts w:cs="Arial"/>
                <w:sz w:val="20"/>
                <w:szCs w:val="20"/>
              </w:rPr>
            </w:pPr>
          </w:p>
        </w:tc>
        <w:tc>
          <w:tcPr>
            <w:tcW w:w="5589" w:type="dxa"/>
            <w:gridSpan w:val="3"/>
            <w:tcBorders>
              <w:top w:val="single" w:sz="4" w:space="0" w:color="auto"/>
              <w:left w:val="single" w:sz="4" w:space="0" w:color="auto"/>
              <w:bottom w:val="single" w:sz="4" w:space="0" w:color="auto"/>
              <w:right w:val="single" w:sz="4" w:space="0" w:color="auto"/>
            </w:tcBorders>
            <w:hideMark/>
          </w:tcPr>
          <w:p w:rsidR="005A2C51" w:rsidRPr="005A2C51" w:rsidRDefault="005A2C51">
            <w:pPr>
              <w:widowControl w:val="0"/>
              <w:autoSpaceDE w:val="0"/>
              <w:autoSpaceDN w:val="0"/>
              <w:adjustRightInd w:val="0"/>
              <w:spacing w:line="256" w:lineRule="auto"/>
              <w:rPr>
                <w:rFonts w:cs="Arial"/>
                <w:color w:val="000000"/>
                <w:sz w:val="20"/>
                <w:szCs w:val="20"/>
                <w:lang w:eastAsia="en-GB"/>
              </w:rPr>
            </w:pPr>
            <w:r w:rsidRPr="005A2C51">
              <w:rPr>
                <w:rFonts w:cs="Arial"/>
                <w:color w:val="000000"/>
                <w:sz w:val="20"/>
                <w:szCs w:val="20"/>
                <w:lang w:eastAsia="en-GB"/>
              </w:rPr>
              <w:t>Date receipt of report acknowledged:     /     /</w:t>
            </w:r>
          </w:p>
        </w:tc>
      </w:tr>
      <w:tr w:rsidR="005A2C51" w:rsidRPr="005A2C51" w:rsidTr="005A2C51">
        <w:tc>
          <w:tcPr>
            <w:tcW w:w="9240" w:type="dxa"/>
            <w:gridSpan w:val="5"/>
            <w:tcBorders>
              <w:top w:val="single" w:sz="4" w:space="0" w:color="auto"/>
              <w:left w:val="single" w:sz="4" w:space="0" w:color="auto"/>
              <w:bottom w:val="single" w:sz="4" w:space="0" w:color="auto"/>
              <w:right w:val="single" w:sz="4" w:space="0" w:color="auto"/>
            </w:tcBorders>
            <w:shd w:val="clear" w:color="auto" w:fill="D9D9D9"/>
            <w:hideMark/>
          </w:tcPr>
          <w:p w:rsidR="005A2C51" w:rsidRPr="005A2C51" w:rsidRDefault="005A2C51">
            <w:pPr>
              <w:widowControl w:val="0"/>
              <w:autoSpaceDE w:val="0"/>
              <w:autoSpaceDN w:val="0"/>
              <w:adjustRightInd w:val="0"/>
              <w:spacing w:line="256" w:lineRule="auto"/>
              <w:rPr>
                <w:rFonts w:cs="Arial"/>
                <w:i/>
                <w:iCs/>
                <w:color w:val="000000"/>
                <w:sz w:val="20"/>
                <w:szCs w:val="20"/>
              </w:rPr>
            </w:pPr>
            <w:r w:rsidRPr="005A2C51">
              <w:rPr>
                <w:rFonts w:cs="Arial"/>
                <w:b/>
                <w:bCs/>
                <w:color w:val="000000"/>
                <w:sz w:val="20"/>
                <w:szCs w:val="20"/>
                <w:lang w:eastAsia="en-GB"/>
              </w:rPr>
              <w:t>Consideration of Disclosure:</w:t>
            </w:r>
            <w:r w:rsidRPr="005A2C51">
              <w:rPr>
                <w:rFonts w:cs="Arial"/>
                <w:i/>
                <w:iCs/>
                <w:color w:val="000000"/>
                <w:sz w:val="20"/>
                <w:szCs w:val="20"/>
              </w:rPr>
              <w:t xml:space="preserve"> </w:t>
            </w:r>
            <w:r w:rsidRPr="005A2C51">
              <w:rPr>
                <w:rFonts w:cs="Arial"/>
                <w:iCs/>
                <w:color w:val="000000"/>
                <w:sz w:val="20"/>
                <w:szCs w:val="20"/>
              </w:rPr>
              <w:t>[Please continue on a separate sheet if necessary]</w:t>
            </w:r>
          </w:p>
        </w:tc>
      </w:tr>
      <w:tr w:rsidR="005A2C51" w:rsidRPr="005A2C51" w:rsidTr="005A2C51">
        <w:tc>
          <w:tcPr>
            <w:tcW w:w="9240" w:type="dxa"/>
            <w:gridSpan w:val="5"/>
            <w:tcBorders>
              <w:top w:val="single" w:sz="4" w:space="0" w:color="auto"/>
              <w:left w:val="single" w:sz="4" w:space="0" w:color="auto"/>
              <w:bottom w:val="single" w:sz="4" w:space="0" w:color="auto"/>
              <w:right w:val="single" w:sz="4" w:space="0" w:color="auto"/>
            </w:tcBorders>
          </w:tcPr>
          <w:p w:rsidR="005A2C51" w:rsidRPr="005A2C51" w:rsidRDefault="005A2C51" w:rsidP="005A2C51">
            <w:pPr>
              <w:autoSpaceDE w:val="0"/>
              <w:autoSpaceDN w:val="0"/>
              <w:adjustRightInd w:val="0"/>
              <w:spacing w:line="256" w:lineRule="auto"/>
              <w:rPr>
                <w:rFonts w:cs="Arial"/>
                <w:sz w:val="20"/>
                <w:szCs w:val="20"/>
              </w:rPr>
            </w:pPr>
            <w:r w:rsidRPr="005A2C51">
              <w:rPr>
                <w:rFonts w:cs="Arial"/>
                <w:bCs/>
                <w:color w:val="000000"/>
                <w:sz w:val="20"/>
                <w:szCs w:val="20"/>
              </w:rPr>
              <w:t>Action plan:</w:t>
            </w:r>
          </w:p>
          <w:p w:rsidR="005A2C51" w:rsidRPr="005A2C51" w:rsidRDefault="005A2C51">
            <w:pPr>
              <w:spacing w:line="256" w:lineRule="auto"/>
              <w:rPr>
                <w:rFonts w:cs="Arial"/>
                <w:sz w:val="20"/>
                <w:szCs w:val="20"/>
              </w:rPr>
            </w:pPr>
          </w:p>
          <w:p w:rsidR="005A2C51" w:rsidRPr="005A2C51" w:rsidRDefault="005A2C51">
            <w:pPr>
              <w:widowControl w:val="0"/>
              <w:spacing w:line="256" w:lineRule="auto"/>
              <w:rPr>
                <w:rFonts w:cs="Arial"/>
                <w:sz w:val="20"/>
                <w:szCs w:val="20"/>
              </w:rPr>
            </w:pPr>
          </w:p>
        </w:tc>
      </w:tr>
      <w:tr w:rsidR="005A2C51" w:rsidRPr="005A2C51" w:rsidTr="005A2C51">
        <w:tc>
          <w:tcPr>
            <w:tcW w:w="9240" w:type="dxa"/>
            <w:gridSpan w:val="5"/>
            <w:tcBorders>
              <w:top w:val="single" w:sz="4" w:space="0" w:color="auto"/>
              <w:left w:val="single" w:sz="4" w:space="0" w:color="auto"/>
              <w:bottom w:val="single" w:sz="4" w:space="0" w:color="auto"/>
              <w:right w:val="single" w:sz="4" w:space="0" w:color="auto"/>
            </w:tcBorders>
            <w:shd w:val="clear" w:color="auto" w:fill="D9D9D9"/>
            <w:hideMark/>
          </w:tcPr>
          <w:p w:rsidR="005A2C51" w:rsidRPr="005A2C51" w:rsidRDefault="005A2C51">
            <w:pPr>
              <w:widowControl w:val="0"/>
              <w:spacing w:line="256" w:lineRule="auto"/>
              <w:rPr>
                <w:rFonts w:cs="Arial"/>
                <w:sz w:val="20"/>
                <w:szCs w:val="20"/>
              </w:rPr>
            </w:pPr>
            <w:r w:rsidRPr="005A2C51">
              <w:rPr>
                <w:rFonts w:cs="Arial"/>
                <w:b/>
                <w:bCs/>
                <w:sz w:val="20"/>
                <w:szCs w:val="20"/>
              </w:rPr>
              <w:t>Outcome of consideration of Disclosure:</w:t>
            </w:r>
          </w:p>
        </w:tc>
      </w:tr>
      <w:tr w:rsidR="005A2C51" w:rsidRPr="005A2C51" w:rsidTr="005A2C51">
        <w:tc>
          <w:tcPr>
            <w:tcW w:w="8044" w:type="dxa"/>
            <w:gridSpan w:val="4"/>
            <w:tcBorders>
              <w:top w:val="single" w:sz="4" w:space="0" w:color="auto"/>
              <w:left w:val="single" w:sz="4" w:space="0" w:color="auto"/>
              <w:bottom w:val="single" w:sz="4" w:space="0" w:color="auto"/>
              <w:right w:val="single" w:sz="4" w:space="0" w:color="auto"/>
            </w:tcBorders>
          </w:tcPr>
          <w:p w:rsidR="005A2C51" w:rsidRPr="005A2C51" w:rsidRDefault="005A2C51" w:rsidP="000768FB">
            <w:pPr>
              <w:autoSpaceDE w:val="0"/>
              <w:autoSpaceDN w:val="0"/>
              <w:adjustRightInd w:val="0"/>
              <w:spacing w:line="256" w:lineRule="auto"/>
              <w:rPr>
                <w:rFonts w:cs="Arial"/>
                <w:bCs/>
                <w:color w:val="000000"/>
                <w:sz w:val="20"/>
                <w:szCs w:val="20"/>
              </w:rPr>
            </w:pPr>
            <w:r w:rsidRPr="005A2C51">
              <w:rPr>
                <w:rFonts w:cs="Arial"/>
                <w:bCs/>
                <w:color w:val="000000"/>
                <w:sz w:val="20"/>
                <w:szCs w:val="20"/>
              </w:rPr>
              <w:t>Are there reasonable grounds for suspecting money laundering activity?</w:t>
            </w:r>
          </w:p>
        </w:tc>
        <w:tc>
          <w:tcPr>
            <w:tcW w:w="1196" w:type="dxa"/>
            <w:tcBorders>
              <w:top w:val="single" w:sz="4" w:space="0" w:color="auto"/>
              <w:left w:val="single" w:sz="4" w:space="0" w:color="auto"/>
              <w:bottom w:val="single" w:sz="4" w:space="0" w:color="auto"/>
              <w:right w:val="single" w:sz="4" w:space="0" w:color="auto"/>
            </w:tcBorders>
            <w:hideMark/>
          </w:tcPr>
          <w:p w:rsidR="005A2C51" w:rsidRPr="005A2C51" w:rsidRDefault="005A2C51">
            <w:pPr>
              <w:widowControl w:val="0"/>
              <w:spacing w:line="256" w:lineRule="auto"/>
              <w:rPr>
                <w:rFonts w:cs="Arial"/>
                <w:sz w:val="20"/>
                <w:szCs w:val="20"/>
              </w:rPr>
            </w:pPr>
            <w:r w:rsidRPr="005A2C51">
              <w:rPr>
                <w:rFonts w:cs="Arial"/>
                <w:sz w:val="20"/>
                <w:szCs w:val="20"/>
              </w:rPr>
              <w:t>YES/NO</w:t>
            </w:r>
          </w:p>
        </w:tc>
      </w:tr>
      <w:tr w:rsidR="005A2C51" w:rsidRPr="005A2C51" w:rsidTr="005A2C51">
        <w:tc>
          <w:tcPr>
            <w:tcW w:w="8044" w:type="dxa"/>
            <w:gridSpan w:val="4"/>
            <w:tcBorders>
              <w:top w:val="single" w:sz="4" w:space="0" w:color="auto"/>
              <w:left w:val="single" w:sz="4" w:space="0" w:color="auto"/>
              <w:bottom w:val="single" w:sz="4" w:space="0" w:color="auto"/>
              <w:right w:val="single" w:sz="4" w:space="0" w:color="auto"/>
            </w:tcBorders>
          </w:tcPr>
          <w:p w:rsidR="005A2C51" w:rsidRPr="005A2C51" w:rsidRDefault="005A2C51" w:rsidP="000768FB">
            <w:pPr>
              <w:autoSpaceDE w:val="0"/>
              <w:autoSpaceDN w:val="0"/>
              <w:adjustRightInd w:val="0"/>
              <w:spacing w:line="256" w:lineRule="auto"/>
              <w:rPr>
                <w:rFonts w:cs="Arial"/>
                <w:bCs/>
                <w:color w:val="000000"/>
                <w:sz w:val="20"/>
                <w:szCs w:val="20"/>
              </w:rPr>
            </w:pPr>
            <w:r w:rsidRPr="005A2C51">
              <w:rPr>
                <w:rFonts w:cs="Arial"/>
                <w:bCs/>
                <w:color w:val="000000"/>
                <w:sz w:val="20"/>
                <w:szCs w:val="20"/>
              </w:rPr>
              <w:t xml:space="preserve">If there are reasonable grounds for suspicion, will a report be made to the </w:t>
            </w:r>
            <w:r w:rsidR="000768FB">
              <w:rPr>
                <w:rFonts w:cs="Arial"/>
                <w:bCs/>
                <w:color w:val="000000"/>
                <w:sz w:val="20"/>
                <w:szCs w:val="20"/>
              </w:rPr>
              <w:t>N</w:t>
            </w:r>
            <w:r w:rsidRPr="005A2C51">
              <w:rPr>
                <w:rFonts w:cs="Arial"/>
                <w:bCs/>
                <w:color w:val="000000"/>
                <w:sz w:val="20"/>
                <w:szCs w:val="20"/>
              </w:rPr>
              <w:t>CA?</w:t>
            </w:r>
          </w:p>
        </w:tc>
        <w:tc>
          <w:tcPr>
            <w:tcW w:w="1196" w:type="dxa"/>
            <w:tcBorders>
              <w:top w:val="single" w:sz="4" w:space="0" w:color="auto"/>
              <w:left w:val="single" w:sz="4" w:space="0" w:color="auto"/>
              <w:bottom w:val="single" w:sz="4" w:space="0" w:color="auto"/>
              <w:right w:val="single" w:sz="4" w:space="0" w:color="auto"/>
            </w:tcBorders>
            <w:hideMark/>
          </w:tcPr>
          <w:p w:rsidR="005A2C51" w:rsidRPr="005A2C51" w:rsidRDefault="005A2C51">
            <w:pPr>
              <w:widowControl w:val="0"/>
              <w:spacing w:line="256" w:lineRule="auto"/>
              <w:rPr>
                <w:rFonts w:cs="Arial"/>
                <w:sz w:val="20"/>
                <w:szCs w:val="20"/>
              </w:rPr>
            </w:pPr>
            <w:r w:rsidRPr="005A2C51">
              <w:rPr>
                <w:rFonts w:cs="Arial"/>
                <w:sz w:val="20"/>
                <w:szCs w:val="20"/>
              </w:rPr>
              <w:t>YES/NO</w:t>
            </w:r>
          </w:p>
        </w:tc>
      </w:tr>
      <w:tr w:rsidR="005A2C51" w:rsidRPr="005A2C51" w:rsidTr="005A2C51">
        <w:tc>
          <w:tcPr>
            <w:tcW w:w="9240" w:type="dxa"/>
            <w:gridSpan w:val="5"/>
            <w:tcBorders>
              <w:top w:val="single" w:sz="4" w:space="0" w:color="auto"/>
              <w:left w:val="single" w:sz="4" w:space="0" w:color="auto"/>
              <w:bottom w:val="single" w:sz="4" w:space="0" w:color="auto"/>
              <w:right w:val="single" w:sz="4" w:space="0" w:color="auto"/>
            </w:tcBorders>
          </w:tcPr>
          <w:p w:rsidR="005A2C51" w:rsidRPr="005A2C51" w:rsidRDefault="005A2C51">
            <w:pPr>
              <w:autoSpaceDE w:val="0"/>
              <w:autoSpaceDN w:val="0"/>
              <w:adjustRightInd w:val="0"/>
              <w:spacing w:line="256" w:lineRule="auto"/>
              <w:rPr>
                <w:rFonts w:cs="Arial"/>
                <w:sz w:val="20"/>
                <w:szCs w:val="20"/>
              </w:rPr>
            </w:pPr>
            <w:r w:rsidRPr="005A2C51">
              <w:rPr>
                <w:rFonts w:cs="Arial"/>
                <w:bCs/>
                <w:color w:val="000000"/>
                <w:sz w:val="20"/>
                <w:szCs w:val="20"/>
                <w:u w:val="single"/>
              </w:rPr>
              <w:t>If yes</w:t>
            </w:r>
            <w:r w:rsidRPr="005A2C51">
              <w:rPr>
                <w:rFonts w:cs="Arial"/>
                <w:bCs/>
                <w:color w:val="000000"/>
                <w:sz w:val="20"/>
                <w:szCs w:val="20"/>
              </w:rPr>
              <w:t xml:space="preserve">, please record the date of report to </w:t>
            </w:r>
            <w:r w:rsidR="000768FB">
              <w:rPr>
                <w:rFonts w:cs="Arial"/>
                <w:bCs/>
                <w:color w:val="000000"/>
                <w:sz w:val="20"/>
                <w:szCs w:val="20"/>
              </w:rPr>
              <w:t>N</w:t>
            </w:r>
            <w:r w:rsidRPr="005A2C51">
              <w:rPr>
                <w:rFonts w:cs="Arial"/>
                <w:bCs/>
                <w:color w:val="000000"/>
                <w:sz w:val="20"/>
                <w:szCs w:val="20"/>
              </w:rPr>
              <w:t xml:space="preserve">CA </w:t>
            </w:r>
            <w:r w:rsidRPr="005A2C51">
              <w:rPr>
                <w:rFonts w:cs="Arial"/>
                <w:sz w:val="20"/>
                <w:szCs w:val="20"/>
              </w:rPr>
              <w:t>and complete the details below:</w:t>
            </w:r>
          </w:p>
          <w:p w:rsidR="005A2C51" w:rsidRPr="005A2C51" w:rsidRDefault="005A2C51">
            <w:pPr>
              <w:spacing w:line="256" w:lineRule="auto"/>
              <w:rPr>
                <w:rFonts w:cs="Arial"/>
                <w:sz w:val="20"/>
                <w:szCs w:val="20"/>
              </w:rPr>
            </w:pPr>
            <w:r w:rsidRPr="005A2C51">
              <w:rPr>
                <w:rFonts w:cs="Arial"/>
                <w:sz w:val="20"/>
                <w:szCs w:val="20"/>
              </w:rPr>
              <w:t>Date of report:     /         /</w:t>
            </w:r>
          </w:p>
          <w:p w:rsidR="005A2C51" w:rsidRPr="005A2C51" w:rsidRDefault="005A2C51">
            <w:pPr>
              <w:autoSpaceDE w:val="0"/>
              <w:autoSpaceDN w:val="0"/>
              <w:adjustRightInd w:val="0"/>
              <w:spacing w:line="256" w:lineRule="auto"/>
              <w:rPr>
                <w:rFonts w:cs="Arial"/>
                <w:bCs/>
                <w:color w:val="000000"/>
                <w:sz w:val="20"/>
                <w:szCs w:val="20"/>
              </w:rPr>
            </w:pPr>
            <w:r w:rsidRPr="005A2C51">
              <w:rPr>
                <w:rFonts w:cs="Arial"/>
                <w:bCs/>
                <w:color w:val="000000"/>
                <w:sz w:val="20"/>
                <w:szCs w:val="20"/>
              </w:rPr>
              <w:t xml:space="preserve">Details of liaison with the </w:t>
            </w:r>
            <w:r w:rsidR="000768FB">
              <w:rPr>
                <w:rFonts w:cs="Arial"/>
                <w:bCs/>
                <w:color w:val="000000"/>
                <w:sz w:val="20"/>
                <w:szCs w:val="20"/>
              </w:rPr>
              <w:t>N</w:t>
            </w:r>
            <w:r w:rsidRPr="005A2C51">
              <w:rPr>
                <w:rFonts w:cs="Arial"/>
                <w:bCs/>
                <w:color w:val="000000"/>
                <w:sz w:val="20"/>
                <w:szCs w:val="20"/>
              </w:rPr>
              <w:t>CA regarding the report:</w:t>
            </w:r>
          </w:p>
          <w:p w:rsidR="005A2C51" w:rsidRPr="005A2C51" w:rsidRDefault="005A2C51">
            <w:pPr>
              <w:autoSpaceDE w:val="0"/>
              <w:autoSpaceDN w:val="0"/>
              <w:adjustRightInd w:val="0"/>
              <w:spacing w:line="256" w:lineRule="auto"/>
              <w:rPr>
                <w:rFonts w:cs="Arial"/>
                <w:bCs/>
                <w:color w:val="000000"/>
                <w:sz w:val="20"/>
                <w:szCs w:val="20"/>
              </w:rPr>
            </w:pPr>
            <w:r w:rsidRPr="005A2C51">
              <w:rPr>
                <w:rFonts w:cs="Arial"/>
                <w:bCs/>
                <w:color w:val="000000"/>
                <w:sz w:val="20"/>
                <w:szCs w:val="20"/>
              </w:rPr>
              <w:t>Notice Period: …………………….. to ………………………..</w:t>
            </w:r>
          </w:p>
          <w:p w:rsidR="005A2C51" w:rsidRPr="005A2C51" w:rsidRDefault="005A2C51">
            <w:pPr>
              <w:widowControl w:val="0"/>
              <w:autoSpaceDE w:val="0"/>
              <w:autoSpaceDN w:val="0"/>
              <w:adjustRightInd w:val="0"/>
              <w:spacing w:line="256" w:lineRule="auto"/>
              <w:rPr>
                <w:rFonts w:cs="Arial"/>
                <w:bCs/>
                <w:color w:val="000000"/>
                <w:sz w:val="20"/>
                <w:szCs w:val="20"/>
              </w:rPr>
            </w:pPr>
            <w:r w:rsidRPr="005A2C51">
              <w:rPr>
                <w:rFonts w:cs="Arial"/>
                <w:bCs/>
                <w:color w:val="000000"/>
                <w:sz w:val="20"/>
                <w:szCs w:val="20"/>
              </w:rPr>
              <w:t>Moratorium Period: …………………….. to ……………………</w:t>
            </w:r>
          </w:p>
        </w:tc>
      </w:tr>
      <w:tr w:rsidR="005A2C51" w:rsidRPr="005A2C51" w:rsidTr="005A2C51">
        <w:tc>
          <w:tcPr>
            <w:tcW w:w="8044" w:type="dxa"/>
            <w:gridSpan w:val="4"/>
            <w:tcBorders>
              <w:top w:val="single" w:sz="4" w:space="0" w:color="auto"/>
              <w:left w:val="single" w:sz="4" w:space="0" w:color="auto"/>
              <w:bottom w:val="single" w:sz="4" w:space="0" w:color="auto"/>
              <w:right w:val="single" w:sz="4" w:space="0" w:color="auto"/>
            </w:tcBorders>
          </w:tcPr>
          <w:p w:rsidR="005A2C51" w:rsidRDefault="005A2C51" w:rsidP="000768FB">
            <w:pPr>
              <w:autoSpaceDE w:val="0"/>
              <w:autoSpaceDN w:val="0"/>
              <w:adjustRightInd w:val="0"/>
              <w:spacing w:line="256" w:lineRule="auto"/>
              <w:rPr>
                <w:rFonts w:cs="Arial"/>
                <w:bCs/>
                <w:color w:val="000000"/>
                <w:sz w:val="20"/>
                <w:szCs w:val="20"/>
              </w:rPr>
            </w:pPr>
            <w:r w:rsidRPr="005A2C51">
              <w:rPr>
                <w:rFonts w:cs="Arial"/>
                <w:bCs/>
                <w:color w:val="000000"/>
                <w:sz w:val="20"/>
                <w:szCs w:val="20"/>
              </w:rPr>
              <w:t xml:space="preserve">Is consent required from the </w:t>
            </w:r>
            <w:r w:rsidR="000768FB">
              <w:rPr>
                <w:rFonts w:cs="Arial"/>
                <w:bCs/>
                <w:color w:val="000000"/>
                <w:sz w:val="20"/>
                <w:szCs w:val="20"/>
              </w:rPr>
              <w:t>N</w:t>
            </w:r>
            <w:r w:rsidRPr="005A2C51">
              <w:rPr>
                <w:rFonts w:cs="Arial"/>
                <w:bCs/>
                <w:color w:val="000000"/>
                <w:sz w:val="20"/>
                <w:szCs w:val="20"/>
              </w:rPr>
              <w:t xml:space="preserve">CA to any ongoing or imminent transactions that would otherwise be prohibited acts? </w:t>
            </w:r>
            <w:r w:rsidRPr="005A2C51">
              <w:rPr>
                <w:rFonts w:cs="Arial"/>
                <w:bCs/>
                <w:color w:val="000000"/>
                <w:sz w:val="20"/>
                <w:szCs w:val="20"/>
                <w:u w:val="single"/>
              </w:rPr>
              <w:t>If yes</w:t>
            </w:r>
            <w:r w:rsidRPr="005A2C51">
              <w:rPr>
                <w:rFonts w:cs="Arial"/>
                <w:bCs/>
                <w:color w:val="000000"/>
                <w:sz w:val="20"/>
                <w:szCs w:val="20"/>
              </w:rPr>
              <w:t>, please confirm full details below:</w:t>
            </w:r>
          </w:p>
          <w:p w:rsidR="000768FB" w:rsidRPr="005A2C51" w:rsidRDefault="000768FB" w:rsidP="000768FB">
            <w:pPr>
              <w:autoSpaceDE w:val="0"/>
              <w:autoSpaceDN w:val="0"/>
              <w:adjustRightInd w:val="0"/>
              <w:spacing w:line="256" w:lineRule="auto"/>
              <w:rPr>
                <w:rFonts w:cs="Arial"/>
                <w:bCs/>
                <w:color w:val="000000"/>
                <w:sz w:val="20"/>
                <w:szCs w:val="20"/>
              </w:rPr>
            </w:pPr>
          </w:p>
        </w:tc>
        <w:tc>
          <w:tcPr>
            <w:tcW w:w="1196" w:type="dxa"/>
            <w:tcBorders>
              <w:top w:val="single" w:sz="4" w:space="0" w:color="auto"/>
              <w:left w:val="single" w:sz="4" w:space="0" w:color="auto"/>
              <w:bottom w:val="single" w:sz="4" w:space="0" w:color="auto"/>
              <w:right w:val="single" w:sz="4" w:space="0" w:color="auto"/>
            </w:tcBorders>
            <w:hideMark/>
          </w:tcPr>
          <w:p w:rsidR="005A2C51" w:rsidRPr="005A2C51" w:rsidRDefault="005A2C51">
            <w:pPr>
              <w:widowControl w:val="0"/>
              <w:spacing w:line="256" w:lineRule="auto"/>
              <w:rPr>
                <w:rFonts w:cs="Arial"/>
                <w:sz w:val="20"/>
                <w:szCs w:val="20"/>
              </w:rPr>
            </w:pPr>
            <w:r w:rsidRPr="005A2C51">
              <w:rPr>
                <w:rFonts w:cs="Arial"/>
                <w:sz w:val="20"/>
                <w:szCs w:val="20"/>
              </w:rPr>
              <w:t>YES/NO</w:t>
            </w:r>
          </w:p>
        </w:tc>
      </w:tr>
      <w:tr w:rsidR="005A2C51" w:rsidRPr="005A2C51" w:rsidTr="005A2C51">
        <w:tc>
          <w:tcPr>
            <w:tcW w:w="8044" w:type="dxa"/>
            <w:gridSpan w:val="4"/>
            <w:tcBorders>
              <w:top w:val="single" w:sz="4" w:space="0" w:color="auto"/>
              <w:left w:val="single" w:sz="4" w:space="0" w:color="auto"/>
              <w:bottom w:val="single" w:sz="4" w:space="0" w:color="auto"/>
              <w:right w:val="single" w:sz="4" w:space="0" w:color="auto"/>
            </w:tcBorders>
          </w:tcPr>
          <w:p w:rsidR="005A2C51" w:rsidRPr="005A2C51" w:rsidRDefault="005A2C51" w:rsidP="000768FB">
            <w:pPr>
              <w:autoSpaceDE w:val="0"/>
              <w:autoSpaceDN w:val="0"/>
              <w:adjustRightInd w:val="0"/>
              <w:spacing w:line="256" w:lineRule="auto"/>
              <w:rPr>
                <w:rFonts w:cs="Arial"/>
                <w:bCs/>
                <w:color w:val="000000"/>
                <w:sz w:val="20"/>
                <w:szCs w:val="20"/>
              </w:rPr>
            </w:pPr>
            <w:r w:rsidRPr="005A2C51">
              <w:rPr>
                <w:rFonts w:cs="Arial"/>
                <w:bCs/>
                <w:color w:val="000000"/>
                <w:sz w:val="20"/>
                <w:szCs w:val="20"/>
              </w:rPr>
              <w:t xml:space="preserve">Date consent received from </w:t>
            </w:r>
            <w:r w:rsidR="000768FB">
              <w:rPr>
                <w:rFonts w:cs="Arial"/>
                <w:bCs/>
                <w:color w:val="000000"/>
                <w:sz w:val="20"/>
                <w:szCs w:val="20"/>
              </w:rPr>
              <w:t>N</w:t>
            </w:r>
            <w:r w:rsidRPr="005A2C51">
              <w:rPr>
                <w:rFonts w:cs="Arial"/>
                <w:bCs/>
                <w:color w:val="000000"/>
                <w:sz w:val="20"/>
                <w:szCs w:val="20"/>
              </w:rPr>
              <w:t>CA:</w:t>
            </w:r>
          </w:p>
        </w:tc>
        <w:tc>
          <w:tcPr>
            <w:tcW w:w="1196" w:type="dxa"/>
            <w:tcBorders>
              <w:top w:val="single" w:sz="4" w:space="0" w:color="auto"/>
              <w:left w:val="single" w:sz="4" w:space="0" w:color="auto"/>
              <w:bottom w:val="single" w:sz="4" w:space="0" w:color="auto"/>
              <w:right w:val="single" w:sz="4" w:space="0" w:color="auto"/>
            </w:tcBorders>
            <w:hideMark/>
          </w:tcPr>
          <w:p w:rsidR="005A2C51" w:rsidRPr="005A2C51" w:rsidRDefault="005A2C51">
            <w:pPr>
              <w:widowControl w:val="0"/>
              <w:spacing w:line="256" w:lineRule="auto"/>
              <w:rPr>
                <w:rFonts w:cs="Arial"/>
                <w:sz w:val="20"/>
                <w:szCs w:val="20"/>
              </w:rPr>
            </w:pPr>
            <w:r w:rsidRPr="005A2C51">
              <w:rPr>
                <w:rFonts w:cs="Arial"/>
                <w:sz w:val="20"/>
                <w:szCs w:val="20"/>
              </w:rPr>
              <w:t xml:space="preserve">    /    /</w:t>
            </w:r>
          </w:p>
        </w:tc>
      </w:tr>
      <w:tr w:rsidR="005A2C51" w:rsidRPr="005A2C51" w:rsidTr="005A2C51">
        <w:tc>
          <w:tcPr>
            <w:tcW w:w="8044" w:type="dxa"/>
            <w:gridSpan w:val="4"/>
            <w:tcBorders>
              <w:top w:val="single" w:sz="4" w:space="0" w:color="auto"/>
              <w:left w:val="single" w:sz="4" w:space="0" w:color="auto"/>
              <w:bottom w:val="single" w:sz="4" w:space="0" w:color="auto"/>
              <w:right w:val="single" w:sz="4" w:space="0" w:color="auto"/>
            </w:tcBorders>
          </w:tcPr>
          <w:p w:rsidR="005A2C51" w:rsidRPr="005A2C51" w:rsidRDefault="005A2C51" w:rsidP="005A2C51">
            <w:pPr>
              <w:autoSpaceDE w:val="0"/>
              <w:autoSpaceDN w:val="0"/>
              <w:adjustRightInd w:val="0"/>
              <w:spacing w:line="256" w:lineRule="auto"/>
              <w:rPr>
                <w:rFonts w:cs="Arial"/>
                <w:bCs/>
                <w:color w:val="000000"/>
                <w:sz w:val="20"/>
                <w:szCs w:val="20"/>
              </w:rPr>
            </w:pPr>
            <w:r w:rsidRPr="005A2C51">
              <w:rPr>
                <w:rFonts w:cs="Arial"/>
                <w:bCs/>
                <w:color w:val="000000"/>
                <w:sz w:val="20"/>
                <w:szCs w:val="20"/>
              </w:rPr>
              <w:t xml:space="preserve">Date consent given by you to employee: </w:t>
            </w:r>
          </w:p>
        </w:tc>
        <w:tc>
          <w:tcPr>
            <w:tcW w:w="1196" w:type="dxa"/>
            <w:tcBorders>
              <w:top w:val="single" w:sz="4" w:space="0" w:color="auto"/>
              <w:left w:val="single" w:sz="4" w:space="0" w:color="auto"/>
              <w:bottom w:val="single" w:sz="4" w:space="0" w:color="auto"/>
              <w:right w:val="single" w:sz="4" w:space="0" w:color="auto"/>
            </w:tcBorders>
            <w:hideMark/>
          </w:tcPr>
          <w:p w:rsidR="005A2C51" w:rsidRPr="005A2C51" w:rsidRDefault="005A2C51">
            <w:pPr>
              <w:widowControl w:val="0"/>
              <w:spacing w:line="256" w:lineRule="auto"/>
              <w:rPr>
                <w:rFonts w:cs="Arial"/>
                <w:sz w:val="20"/>
                <w:szCs w:val="20"/>
              </w:rPr>
            </w:pPr>
            <w:r w:rsidRPr="005A2C51">
              <w:rPr>
                <w:rFonts w:cs="Arial"/>
                <w:sz w:val="20"/>
                <w:szCs w:val="20"/>
              </w:rPr>
              <w:t xml:space="preserve">    /    /</w:t>
            </w:r>
          </w:p>
        </w:tc>
      </w:tr>
      <w:tr w:rsidR="005A2C51" w:rsidRPr="005A2C51" w:rsidTr="005A2C51">
        <w:tc>
          <w:tcPr>
            <w:tcW w:w="9240" w:type="dxa"/>
            <w:gridSpan w:val="5"/>
            <w:tcBorders>
              <w:top w:val="single" w:sz="4" w:space="0" w:color="auto"/>
              <w:left w:val="single" w:sz="4" w:space="0" w:color="auto"/>
              <w:bottom w:val="single" w:sz="4" w:space="0" w:color="auto"/>
              <w:right w:val="single" w:sz="4" w:space="0" w:color="auto"/>
            </w:tcBorders>
          </w:tcPr>
          <w:p w:rsidR="005A2C51" w:rsidRDefault="005A2C51" w:rsidP="005A2C51">
            <w:pPr>
              <w:spacing w:line="256" w:lineRule="auto"/>
              <w:rPr>
                <w:rFonts w:cs="Arial"/>
                <w:bCs/>
                <w:color w:val="000000"/>
                <w:sz w:val="20"/>
                <w:szCs w:val="20"/>
              </w:rPr>
            </w:pPr>
            <w:r w:rsidRPr="005A2C51">
              <w:rPr>
                <w:rFonts w:cs="Arial"/>
                <w:bCs/>
                <w:color w:val="000000"/>
                <w:sz w:val="20"/>
                <w:szCs w:val="20"/>
              </w:rPr>
              <w:t xml:space="preserve">If there are reasonable grounds to suspect money laundering, but you </w:t>
            </w:r>
            <w:r w:rsidRPr="005A2C51">
              <w:rPr>
                <w:rFonts w:cs="Arial"/>
                <w:bCs/>
                <w:color w:val="000000"/>
                <w:sz w:val="20"/>
                <w:szCs w:val="20"/>
                <w:u w:val="single"/>
              </w:rPr>
              <w:t>do not</w:t>
            </w:r>
            <w:r w:rsidRPr="005A2C51">
              <w:rPr>
                <w:rFonts w:cs="Arial"/>
                <w:bCs/>
                <w:color w:val="000000"/>
                <w:sz w:val="20"/>
                <w:szCs w:val="20"/>
              </w:rPr>
              <w:t xml:space="preserve"> intend to report the matter to the </w:t>
            </w:r>
            <w:r w:rsidR="000768FB">
              <w:rPr>
                <w:rFonts w:cs="Arial"/>
                <w:bCs/>
                <w:color w:val="000000"/>
                <w:sz w:val="20"/>
                <w:szCs w:val="20"/>
              </w:rPr>
              <w:t>N</w:t>
            </w:r>
            <w:r w:rsidRPr="005A2C51">
              <w:rPr>
                <w:rFonts w:cs="Arial"/>
                <w:bCs/>
                <w:color w:val="000000"/>
                <w:sz w:val="20"/>
                <w:szCs w:val="20"/>
              </w:rPr>
              <w:t>CA, please set out below the reason(s) for non-disclosure:</w:t>
            </w:r>
          </w:p>
          <w:p w:rsidR="005A2C51" w:rsidRPr="005A2C51" w:rsidRDefault="005A2C51" w:rsidP="005A2C51">
            <w:pPr>
              <w:spacing w:line="256" w:lineRule="auto"/>
              <w:rPr>
                <w:rFonts w:cs="Arial"/>
                <w:sz w:val="20"/>
                <w:szCs w:val="20"/>
              </w:rPr>
            </w:pPr>
          </w:p>
        </w:tc>
      </w:tr>
      <w:tr w:rsidR="005A2C51" w:rsidRPr="005A2C51" w:rsidTr="005A2C51">
        <w:tc>
          <w:tcPr>
            <w:tcW w:w="8044" w:type="dxa"/>
            <w:gridSpan w:val="4"/>
            <w:tcBorders>
              <w:top w:val="single" w:sz="4" w:space="0" w:color="auto"/>
              <w:left w:val="single" w:sz="4" w:space="0" w:color="auto"/>
              <w:bottom w:val="single" w:sz="4" w:space="0" w:color="auto"/>
              <w:right w:val="single" w:sz="4" w:space="0" w:color="auto"/>
            </w:tcBorders>
          </w:tcPr>
          <w:p w:rsidR="005A2C51" w:rsidRPr="005A2C51" w:rsidRDefault="005A2C51" w:rsidP="005A2C51">
            <w:pPr>
              <w:autoSpaceDE w:val="0"/>
              <w:autoSpaceDN w:val="0"/>
              <w:adjustRightInd w:val="0"/>
              <w:spacing w:line="256" w:lineRule="auto"/>
              <w:rPr>
                <w:rFonts w:cs="Arial"/>
                <w:bCs/>
                <w:color w:val="000000"/>
                <w:sz w:val="20"/>
                <w:szCs w:val="20"/>
              </w:rPr>
            </w:pPr>
            <w:r w:rsidRPr="005A2C51">
              <w:rPr>
                <w:rFonts w:cs="Arial"/>
                <w:bCs/>
                <w:color w:val="000000"/>
                <w:sz w:val="20"/>
                <w:szCs w:val="20"/>
              </w:rPr>
              <w:t xml:space="preserve">Date consent given by you to employee for any prohibited act transactions to proceed: </w:t>
            </w:r>
          </w:p>
        </w:tc>
        <w:tc>
          <w:tcPr>
            <w:tcW w:w="1196" w:type="dxa"/>
            <w:tcBorders>
              <w:top w:val="single" w:sz="4" w:space="0" w:color="auto"/>
              <w:left w:val="single" w:sz="4" w:space="0" w:color="auto"/>
              <w:bottom w:val="single" w:sz="4" w:space="0" w:color="auto"/>
              <w:right w:val="single" w:sz="4" w:space="0" w:color="auto"/>
            </w:tcBorders>
            <w:hideMark/>
          </w:tcPr>
          <w:p w:rsidR="005A2C51" w:rsidRPr="005A2C51" w:rsidRDefault="005A2C51">
            <w:pPr>
              <w:widowControl w:val="0"/>
              <w:spacing w:line="256" w:lineRule="auto"/>
              <w:rPr>
                <w:rFonts w:cs="Arial"/>
                <w:sz w:val="20"/>
                <w:szCs w:val="20"/>
              </w:rPr>
            </w:pPr>
            <w:r w:rsidRPr="005A2C51">
              <w:rPr>
                <w:rFonts w:cs="Arial"/>
                <w:sz w:val="20"/>
                <w:szCs w:val="20"/>
              </w:rPr>
              <w:t xml:space="preserve">    /    /</w:t>
            </w:r>
          </w:p>
        </w:tc>
      </w:tr>
      <w:tr w:rsidR="005A2C51" w:rsidRPr="005A2C51" w:rsidTr="005A2C51">
        <w:trPr>
          <w:trHeight w:val="513"/>
        </w:trPr>
        <w:tc>
          <w:tcPr>
            <w:tcW w:w="964" w:type="dxa"/>
            <w:tcBorders>
              <w:top w:val="single" w:sz="4" w:space="0" w:color="auto"/>
              <w:left w:val="single" w:sz="4" w:space="0" w:color="auto"/>
              <w:bottom w:val="single" w:sz="4" w:space="0" w:color="auto"/>
              <w:right w:val="single" w:sz="4" w:space="0" w:color="auto"/>
            </w:tcBorders>
            <w:hideMark/>
          </w:tcPr>
          <w:p w:rsidR="005A2C51" w:rsidRPr="005A2C51" w:rsidRDefault="005A2C51">
            <w:pPr>
              <w:widowControl w:val="0"/>
              <w:autoSpaceDE w:val="0"/>
              <w:autoSpaceDN w:val="0"/>
              <w:adjustRightInd w:val="0"/>
              <w:spacing w:line="256" w:lineRule="auto"/>
              <w:rPr>
                <w:rFonts w:cs="Arial"/>
                <w:color w:val="000000"/>
                <w:sz w:val="20"/>
                <w:szCs w:val="20"/>
                <w:lang w:eastAsia="en-GB"/>
              </w:rPr>
            </w:pPr>
            <w:r w:rsidRPr="005A2C51">
              <w:rPr>
                <w:rFonts w:cs="Arial"/>
                <w:color w:val="000000"/>
                <w:sz w:val="20"/>
                <w:szCs w:val="20"/>
                <w:lang w:eastAsia="en-GB"/>
              </w:rPr>
              <w:t xml:space="preserve">Signed </w:t>
            </w:r>
          </w:p>
        </w:tc>
        <w:tc>
          <w:tcPr>
            <w:tcW w:w="5649" w:type="dxa"/>
            <w:gridSpan w:val="2"/>
            <w:tcBorders>
              <w:top w:val="single" w:sz="4" w:space="0" w:color="auto"/>
              <w:left w:val="single" w:sz="4" w:space="0" w:color="auto"/>
              <w:bottom w:val="single" w:sz="4" w:space="0" w:color="auto"/>
              <w:right w:val="single" w:sz="4" w:space="0" w:color="auto"/>
            </w:tcBorders>
          </w:tcPr>
          <w:p w:rsidR="005A2C51" w:rsidRPr="005A2C51" w:rsidRDefault="005A2C51">
            <w:pPr>
              <w:widowControl w:val="0"/>
              <w:spacing w:line="256" w:lineRule="auto"/>
              <w:rPr>
                <w:rFonts w:cs="Arial"/>
                <w:sz w:val="20"/>
                <w:szCs w:val="20"/>
              </w:rPr>
            </w:pPr>
          </w:p>
        </w:tc>
        <w:tc>
          <w:tcPr>
            <w:tcW w:w="1431" w:type="dxa"/>
            <w:tcBorders>
              <w:top w:val="single" w:sz="4" w:space="0" w:color="auto"/>
              <w:left w:val="single" w:sz="4" w:space="0" w:color="auto"/>
              <w:bottom w:val="single" w:sz="4" w:space="0" w:color="auto"/>
              <w:right w:val="single" w:sz="4" w:space="0" w:color="auto"/>
            </w:tcBorders>
            <w:hideMark/>
          </w:tcPr>
          <w:p w:rsidR="005A2C51" w:rsidRPr="005A2C51" w:rsidRDefault="005A2C51">
            <w:pPr>
              <w:widowControl w:val="0"/>
              <w:spacing w:line="256" w:lineRule="auto"/>
              <w:rPr>
                <w:rFonts w:cs="Arial"/>
                <w:sz w:val="20"/>
                <w:szCs w:val="20"/>
              </w:rPr>
            </w:pPr>
            <w:r w:rsidRPr="005A2C51">
              <w:rPr>
                <w:rFonts w:cs="Arial"/>
                <w:color w:val="000000"/>
                <w:sz w:val="20"/>
                <w:szCs w:val="20"/>
                <w:lang w:eastAsia="en-GB"/>
              </w:rPr>
              <w:t>Date:</w:t>
            </w:r>
          </w:p>
        </w:tc>
        <w:tc>
          <w:tcPr>
            <w:tcW w:w="1196" w:type="dxa"/>
            <w:tcBorders>
              <w:top w:val="single" w:sz="4" w:space="0" w:color="auto"/>
              <w:left w:val="single" w:sz="4" w:space="0" w:color="auto"/>
              <w:bottom w:val="single" w:sz="4" w:space="0" w:color="auto"/>
              <w:right w:val="single" w:sz="4" w:space="0" w:color="auto"/>
            </w:tcBorders>
            <w:hideMark/>
          </w:tcPr>
          <w:p w:rsidR="005A2C51" w:rsidRPr="005A2C51" w:rsidRDefault="005A2C51">
            <w:pPr>
              <w:widowControl w:val="0"/>
              <w:spacing w:line="256" w:lineRule="auto"/>
              <w:rPr>
                <w:rFonts w:cs="Arial"/>
                <w:sz w:val="20"/>
                <w:szCs w:val="20"/>
              </w:rPr>
            </w:pPr>
            <w:r w:rsidRPr="005A2C51">
              <w:rPr>
                <w:rFonts w:cs="Arial"/>
                <w:sz w:val="20"/>
                <w:szCs w:val="20"/>
              </w:rPr>
              <w:t xml:space="preserve">    /    /</w:t>
            </w:r>
          </w:p>
        </w:tc>
      </w:tr>
      <w:tr w:rsidR="005A2C51" w:rsidRPr="005A2C51" w:rsidTr="005A2C51">
        <w:trPr>
          <w:trHeight w:val="346"/>
        </w:trPr>
        <w:tc>
          <w:tcPr>
            <w:tcW w:w="9240" w:type="dxa"/>
            <w:gridSpan w:val="5"/>
            <w:tcBorders>
              <w:top w:val="single" w:sz="4" w:space="0" w:color="auto"/>
              <w:left w:val="single" w:sz="4" w:space="0" w:color="auto"/>
              <w:bottom w:val="single" w:sz="4" w:space="0" w:color="auto"/>
              <w:right w:val="single" w:sz="4" w:space="0" w:color="auto"/>
            </w:tcBorders>
            <w:hideMark/>
          </w:tcPr>
          <w:p w:rsidR="005A2C51" w:rsidRPr="005A2C51" w:rsidRDefault="005A2C51">
            <w:pPr>
              <w:widowControl w:val="0"/>
              <w:spacing w:line="256" w:lineRule="auto"/>
              <w:jc w:val="center"/>
              <w:rPr>
                <w:rFonts w:cs="Arial"/>
                <w:b/>
                <w:sz w:val="20"/>
                <w:szCs w:val="20"/>
              </w:rPr>
            </w:pPr>
            <w:r w:rsidRPr="005A2C51">
              <w:rPr>
                <w:rFonts w:cs="Arial"/>
                <w:b/>
                <w:sz w:val="20"/>
                <w:szCs w:val="20"/>
              </w:rPr>
              <w:t>THIS REPORT TO BE RETAINED FOR AT LEAST FIVE YEARS</w:t>
            </w:r>
          </w:p>
        </w:tc>
      </w:tr>
    </w:tbl>
    <w:p w:rsidR="00847150" w:rsidRDefault="00847150">
      <w:pPr>
        <w:rPr>
          <w:b/>
          <w:sz w:val="20"/>
          <w:szCs w:val="20"/>
        </w:rPr>
      </w:pPr>
    </w:p>
    <w:p w:rsidR="00847150" w:rsidRPr="00847150" w:rsidRDefault="00847150" w:rsidP="00847150">
      <w:pPr>
        <w:rPr>
          <w:sz w:val="20"/>
          <w:szCs w:val="20"/>
        </w:rPr>
      </w:pPr>
    </w:p>
    <w:p w:rsidR="00F42DFE" w:rsidRPr="002A6A4D" w:rsidRDefault="00F42DFE" w:rsidP="00847150">
      <w:pPr>
        <w:tabs>
          <w:tab w:val="left" w:pos="1903"/>
        </w:tabs>
        <w:rPr>
          <w:sz w:val="20"/>
          <w:szCs w:val="20"/>
        </w:rPr>
      </w:pPr>
    </w:p>
    <w:sectPr w:rsidR="00F42DFE" w:rsidRPr="002A6A4D" w:rsidSect="00847150">
      <w:headerReference w:type="default" r:id="rId23"/>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50C" w:rsidRDefault="0045550C" w:rsidP="00671512">
      <w:pPr>
        <w:spacing w:after="0" w:line="240" w:lineRule="auto"/>
      </w:pPr>
      <w:r>
        <w:separator/>
      </w:r>
    </w:p>
  </w:endnote>
  <w:endnote w:type="continuationSeparator" w:id="0">
    <w:p w:rsidR="0045550C" w:rsidRDefault="0045550C" w:rsidP="00671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50C" w:rsidRDefault="0045550C" w:rsidP="0067151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50C" w:rsidRPr="00847150" w:rsidRDefault="0045550C" w:rsidP="008471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150" w:rsidRPr="00847150" w:rsidRDefault="00847150" w:rsidP="00847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50C" w:rsidRDefault="0045550C" w:rsidP="00671512">
      <w:pPr>
        <w:spacing w:after="0" w:line="240" w:lineRule="auto"/>
      </w:pPr>
      <w:r>
        <w:separator/>
      </w:r>
    </w:p>
  </w:footnote>
  <w:footnote w:type="continuationSeparator" w:id="0">
    <w:p w:rsidR="0045550C" w:rsidRDefault="0045550C" w:rsidP="00671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50C" w:rsidRDefault="0045550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150" w:rsidRPr="00847150" w:rsidRDefault="00847150" w:rsidP="0084715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150" w:rsidRDefault="00847150" w:rsidP="00847150">
    <w:pPr>
      <w:pStyle w:val="Header"/>
      <w:jc w:val="right"/>
    </w:pPr>
    <w:r>
      <w:t>Appendix 1</w:t>
    </w:r>
  </w:p>
  <w:p w:rsidR="00D74F42" w:rsidRDefault="00D74F42" w:rsidP="00847150">
    <w:pPr>
      <w:pStyle w:val="Header"/>
      <w:jc w:val="right"/>
    </w:pPr>
  </w:p>
  <w:p w:rsidR="00D74F42" w:rsidRPr="00D74F42" w:rsidRDefault="00D74F42" w:rsidP="00847150">
    <w:pPr>
      <w:pStyle w:val="Header"/>
      <w:jc w:val="right"/>
      <w:rPr>
        <w:b/>
      </w:rPr>
    </w:pPr>
  </w:p>
  <w:p w:rsidR="00D74F42" w:rsidRPr="00D74F42" w:rsidRDefault="00D74F42" w:rsidP="00D74F42">
    <w:pPr>
      <w:spacing w:after="0" w:line="240" w:lineRule="auto"/>
      <w:ind w:left="567" w:hanging="567"/>
      <w:contextualSpacing/>
      <w:jc w:val="both"/>
      <w:rPr>
        <w:b/>
      </w:rPr>
    </w:pPr>
    <w:r>
      <w:rPr>
        <w:b/>
      </w:rPr>
      <w:t>10</w:t>
    </w:r>
    <w:r>
      <w:rPr>
        <w:b/>
      </w:rPr>
      <w:tab/>
      <w:t>Suspected Money Laundering Form</w:t>
    </w:r>
  </w:p>
  <w:p w:rsidR="00D74F42" w:rsidRDefault="00D74F42" w:rsidP="00847150">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150" w:rsidRDefault="00847150" w:rsidP="00847150">
    <w:pPr>
      <w:pStyle w:val="Header"/>
      <w:jc w:val="right"/>
    </w:pPr>
    <w:r>
      <w:t>Appendix 2</w:t>
    </w:r>
  </w:p>
  <w:p w:rsidR="00D74F42" w:rsidRDefault="00D74F42" w:rsidP="00847150">
    <w:pPr>
      <w:pStyle w:val="Header"/>
      <w:jc w:val="right"/>
    </w:pPr>
  </w:p>
  <w:p w:rsidR="00D74F42" w:rsidRPr="00D74F42" w:rsidRDefault="00D74F42" w:rsidP="00D74F42">
    <w:pPr>
      <w:spacing w:after="0" w:line="240" w:lineRule="auto"/>
      <w:ind w:left="567" w:hanging="567"/>
      <w:contextualSpacing/>
      <w:jc w:val="both"/>
      <w:rPr>
        <w:b/>
      </w:rPr>
    </w:pPr>
  </w:p>
  <w:p w:rsidR="00D74F42" w:rsidRPr="00D74F42" w:rsidRDefault="00D74F42" w:rsidP="00D74F42">
    <w:pPr>
      <w:spacing w:after="0" w:line="240" w:lineRule="auto"/>
      <w:ind w:left="567" w:hanging="567"/>
      <w:contextualSpacing/>
      <w:jc w:val="both"/>
      <w:rPr>
        <w:b/>
      </w:rPr>
    </w:pPr>
    <w:r>
      <w:rPr>
        <w:b/>
      </w:rPr>
      <w:t>11</w:t>
    </w:r>
    <w:r>
      <w:rPr>
        <w:b/>
      </w:rPr>
      <w:tab/>
      <w:t>Suspected Money Laundering Form</w:t>
    </w:r>
  </w:p>
  <w:p w:rsidR="00D74F42" w:rsidRDefault="00D74F42" w:rsidP="00D74F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50C" w:rsidRPr="00847150" w:rsidRDefault="0045550C" w:rsidP="008471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50C" w:rsidRDefault="004555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50C" w:rsidRDefault="004555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50C" w:rsidRPr="00847150" w:rsidRDefault="0045550C" w:rsidP="0084715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50C" w:rsidRDefault="0045550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150" w:rsidRPr="00847150" w:rsidRDefault="00847150" w:rsidP="0084715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150" w:rsidRPr="00847150" w:rsidRDefault="00847150" w:rsidP="0084715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150" w:rsidRDefault="00847150" w:rsidP="0084715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013D"/>
    <w:multiLevelType w:val="hybridMultilevel"/>
    <w:tmpl w:val="5F10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56D05"/>
    <w:multiLevelType w:val="hybridMultilevel"/>
    <w:tmpl w:val="3E2C6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C610B"/>
    <w:multiLevelType w:val="hybridMultilevel"/>
    <w:tmpl w:val="3E3CF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57E8D"/>
    <w:multiLevelType w:val="hybridMultilevel"/>
    <w:tmpl w:val="0A1AD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60CD8"/>
    <w:multiLevelType w:val="hybridMultilevel"/>
    <w:tmpl w:val="BBCAA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E52991"/>
    <w:multiLevelType w:val="hybridMultilevel"/>
    <w:tmpl w:val="971EF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36176"/>
    <w:multiLevelType w:val="hybridMultilevel"/>
    <w:tmpl w:val="64AE0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ED7C65"/>
    <w:multiLevelType w:val="hybridMultilevel"/>
    <w:tmpl w:val="22C64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78127BD"/>
    <w:multiLevelType w:val="hybridMultilevel"/>
    <w:tmpl w:val="536003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A6EAC"/>
    <w:multiLevelType w:val="hybridMultilevel"/>
    <w:tmpl w:val="F79CD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86975"/>
    <w:multiLevelType w:val="hybridMultilevel"/>
    <w:tmpl w:val="0D468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F04111"/>
    <w:multiLevelType w:val="hybridMultilevel"/>
    <w:tmpl w:val="CD98D530"/>
    <w:lvl w:ilvl="0" w:tplc="3230B5FC">
      <w:start w:val="1"/>
      <w:numFmt w:val="decimal"/>
      <w:pStyle w:val="HeadingOne"/>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E27909"/>
    <w:multiLevelType w:val="hybridMultilevel"/>
    <w:tmpl w:val="41361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1740CC"/>
    <w:multiLevelType w:val="hybridMultilevel"/>
    <w:tmpl w:val="09E01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887511"/>
    <w:multiLevelType w:val="multilevel"/>
    <w:tmpl w:val="D8D04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4B33E8"/>
    <w:multiLevelType w:val="hybridMultilevel"/>
    <w:tmpl w:val="1D720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406B39"/>
    <w:multiLevelType w:val="hybridMultilevel"/>
    <w:tmpl w:val="85D01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713547"/>
    <w:multiLevelType w:val="hybridMultilevel"/>
    <w:tmpl w:val="DEC6F7D2"/>
    <w:lvl w:ilvl="0" w:tplc="17AC681E">
      <w:start w:val="14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C15243"/>
    <w:multiLevelType w:val="hybridMultilevel"/>
    <w:tmpl w:val="B0CAAFB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517A0EE1"/>
    <w:multiLevelType w:val="hybridMultilevel"/>
    <w:tmpl w:val="5E4E5C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5950C5D"/>
    <w:multiLevelType w:val="hybridMultilevel"/>
    <w:tmpl w:val="D6E0C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A073A0"/>
    <w:multiLevelType w:val="hybridMultilevel"/>
    <w:tmpl w:val="4AFC2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DC31A6"/>
    <w:multiLevelType w:val="hybridMultilevel"/>
    <w:tmpl w:val="33606F5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2603612"/>
    <w:multiLevelType w:val="hybridMultilevel"/>
    <w:tmpl w:val="7D7A3D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06519DA"/>
    <w:multiLevelType w:val="hybridMultilevel"/>
    <w:tmpl w:val="C8480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BF76AA"/>
    <w:multiLevelType w:val="hybridMultilevel"/>
    <w:tmpl w:val="62167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1"/>
  </w:num>
  <w:num w:numId="4">
    <w:abstractNumId w:val="11"/>
  </w:num>
  <w:num w:numId="5">
    <w:abstractNumId w:val="11"/>
  </w:num>
  <w:num w:numId="6">
    <w:abstractNumId w:val="11"/>
  </w:num>
  <w:num w:numId="7">
    <w:abstractNumId w:val="11"/>
  </w:num>
  <w:num w:numId="8">
    <w:abstractNumId w:val="14"/>
  </w:num>
  <w:num w:numId="9">
    <w:abstractNumId w:val="3"/>
  </w:num>
  <w:num w:numId="10">
    <w:abstractNumId w:val="11"/>
  </w:num>
  <w:num w:numId="11">
    <w:abstractNumId w:val="17"/>
  </w:num>
  <w:num w:numId="12">
    <w:abstractNumId w:val="0"/>
  </w:num>
  <w:num w:numId="13">
    <w:abstractNumId w:val="6"/>
  </w:num>
  <w:num w:numId="14">
    <w:abstractNumId w:val="11"/>
  </w:num>
  <w:num w:numId="15">
    <w:abstractNumId w:val="11"/>
  </w:num>
  <w:num w:numId="16">
    <w:abstractNumId w:val="11"/>
  </w:num>
  <w:num w:numId="17">
    <w:abstractNumId w:val="11"/>
  </w:num>
  <w:num w:numId="18">
    <w:abstractNumId w:val="11"/>
  </w:num>
  <w:num w:numId="19">
    <w:abstractNumId w:val="25"/>
  </w:num>
  <w:num w:numId="20">
    <w:abstractNumId w:val="12"/>
  </w:num>
  <w:num w:numId="21">
    <w:abstractNumId w:val="11"/>
  </w:num>
  <w:num w:numId="22">
    <w:abstractNumId w:val="1"/>
  </w:num>
  <w:num w:numId="23">
    <w:abstractNumId w:val="11"/>
  </w:num>
  <w:num w:numId="24">
    <w:abstractNumId w:val="11"/>
  </w:num>
  <w:num w:numId="25">
    <w:abstractNumId w:val="22"/>
  </w:num>
  <w:num w:numId="26">
    <w:abstractNumId w:val="19"/>
  </w:num>
  <w:num w:numId="27">
    <w:abstractNumId w:val="11"/>
  </w:num>
  <w:num w:numId="28">
    <w:abstractNumId w:val="24"/>
  </w:num>
  <w:num w:numId="29">
    <w:abstractNumId w:val="15"/>
  </w:num>
  <w:num w:numId="30">
    <w:abstractNumId w:val="21"/>
  </w:num>
  <w:num w:numId="31">
    <w:abstractNumId w:val="8"/>
  </w:num>
  <w:num w:numId="32">
    <w:abstractNumId w:val="23"/>
  </w:num>
  <w:num w:numId="33">
    <w:abstractNumId w:val="5"/>
  </w:num>
  <w:num w:numId="34">
    <w:abstractNumId w:val="10"/>
  </w:num>
  <w:num w:numId="35">
    <w:abstractNumId w:val="16"/>
  </w:num>
  <w:num w:numId="36">
    <w:abstractNumId w:val="18"/>
  </w:num>
  <w:num w:numId="37">
    <w:abstractNumId w:val="20"/>
  </w:num>
  <w:num w:numId="38">
    <w:abstractNumId w:val="13"/>
  </w:num>
  <w:num w:numId="39">
    <w:abstractNumId w:val="4"/>
  </w:num>
  <w:num w:numId="40">
    <w:abstractNumId w:val="2"/>
  </w:num>
  <w:num w:numId="41">
    <w:abstractNumId w:val="7"/>
  </w:num>
  <w:num w:numId="42">
    <w:abstractNumId w:val="11"/>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72"/>
    <w:rsid w:val="00006A97"/>
    <w:rsid w:val="00035C6D"/>
    <w:rsid w:val="0004790B"/>
    <w:rsid w:val="000768FB"/>
    <w:rsid w:val="000910B5"/>
    <w:rsid w:val="000B4726"/>
    <w:rsid w:val="000C653B"/>
    <w:rsid w:val="000F6519"/>
    <w:rsid w:val="00116564"/>
    <w:rsid w:val="0014023A"/>
    <w:rsid w:val="001734A3"/>
    <w:rsid w:val="00190AEB"/>
    <w:rsid w:val="001E5C98"/>
    <w:rsid w:val="001F0A63"/>
    <w:rsid w:val="001F671E"/>
    <w:rsid w:val="001F7D11"/>
    <w:rsid w:val="00232EDD"/>
    <w:rsid w:val="002353A0"/>
    <w:rsid w:val="00242D90"/>
    <w:rsid w:val="00276D08"/>
    <w:rsid w:val="0028738C"/>
    <w:rsid w:val="002A6A4D"/>
    <w:rsid w:val="002E6C7B"/>
    <w:rsid w:val="002F7800"/>
    <w:rsid w:val="003506BB"/>
    <w:rsid w:val="00353E54"/>
    <w:rsid w:val="003624E5"/>
    <w:rsid w:val="00367444"/>
    <w:rsid w:val="003B71A8"/>
    <w:rsid w:val="003C0EEF"/>
    <w:rsid w:val="003D489A"/>
    <w:rsid w:val="003D769F"/>
    <w:rsid w:val="00432889"/>
    <w:rsid w:val="0045550C"/>
    <w:rsid w:val="004742D1"/>
    <w:rsid w:val="004A23C5"/>
    <w:rsid w:val="004B2570"/>
    <w:rsid w:val="004D247C"/>
    <w:rsid w:val="00516719"/>
    <w:rsid w:val="005450EE"/>
    <w:rsid w:val="00550890"/>
    <w:rsid w:val="00552814"/>
    <w:rsid w:val="00553FCF"/>
    <w:rsid w:val="00584762"/>
    <w:rsid w:val="005913EF"/>
    <w:rsid w:val="005A2C51"/>
    <w:rsid w:val="005B619A"/>
    <w:rsid w:val="005C5561"/>
    <w:rsid w:val="00671512"/>
    <w:rsid w:val="0069383C"/>
    <w:rsid w:val="006A2211"/>
    <w:rsid w:val="006B2560"/>
    <w:rsid w:val="006B6F23"/>
    <w:rsid w:val="006E5A37"/>
    <w:rsid w:val="006E6504"/>
    <w:rsid w:val="007073F5"/>
    <w:rsid w:val="0077658D"/>
    <w:rsid w:val="00791149"/>
    <w:rsid w:val="007E5178"/>
    <w:rsid w:val="007F6722"/>
    <w:rsid w:val="007F715C"/>
    <w:rsid w:val="0081002A"/>
    <w:rsid w:val="008310DC"/>
    <w:rsid w:val="00847150"/>
    <w:rsid w:val="0087485D"/>
    <w:rsid w:val="00890236"/>
    <w:rsid w:val="0089152A"/>
    <w:rsid w:val="008971EC"/>
    <w:rsid w:val="008B5492"/>
    <w:rsid w:val="008E7CFC"/>
    <w:rsid w:val="00900AB4"/>
    <w:rsid w:val="00916F82"/>
    <w:rsid w:val="00924D0C"/>
    <w:rsid w:val="009844DA"/>
    <w:rsid w:val="00992F45"/>
    <w:rsid w:val="00996751"/>
    <w:rsid w:val="009C2EDD"/>
    <w:rsid w:val="009D5E78"/>
    <w:rsid w:val="00A369C5"/>
    <w:rsid w:val="00A474AB"/>
    <w:rsid w:val="00A7703F"/>
    <w:rsid w:val="00A91F69"/>
    <w:rsid w:val="00A966A4"/>
    <w:rsid w:val="00AA1665"/>
    <w:rsid w:val="00AB5946"/>
    <w:rsid w:val="00AC7489"/>
    <w:rsid w:val="00AD3A0A"/>
    <w:rsid w:val="00AE2ED6"/>
    <w:rsid w:val="00B5160B"/>
    <w:rsid w:val="00B565E0"/>
    <w:rsid w:val="00BA4B34"/>
    <w:rsid w:val="00BA746B"/>
    <w:rsid w:val="00BB27F1"/>
    <w:rsid w:val="00C2308A"/>
    <w:rsid w:val="00C6264A"/>
    <w:rsid w:val="00C833BE"/>
    <w:rsid w:val="00CA4405"/>
    <w:rsid w:val="00CA581B"/>
    <w:rsid w:val="00D1113F"/>
    <w:rsid w:val="00D65EC1"/>
    <w:rsid w:val="00D74F42"/>
    <w:rsid w:val="00D9064C"/>
    <w:rsid w:val="00D9401B"/>
    <w:rsid w:val="00E40A1F"/>
    <w:rsid w:val="00E87408"/>
    <w:rsid w:val="00ED7D23"/>
    <w:rsid w:val="00F22B5A"/>
    <w:rsid w:val="00F25C72"/>
    <w:rsid w:val="00F354D8"/>
    <w:rsid w:val="00F42DFE"/>
    <w:rsid w:val="00F4677F"/>
    <w:rsid w:val="00F77BD6"/>
    <w:rsid w:val="00FC7C8F"/>
    <w:rsid w:val="00FF7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CF2A4A09-9DAC-491D-B294-1D9BD8B3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15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5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C72"/>
    <w:rPr>
      <w:rFonts w:ascii="Tahoma" w:hAnsi="Tahoma" w:cs="Tahoma"/>
      <w:sz w:val="16"/>
      <w:szCs w:val="16"/>
    </w:rPr>
  </w:style>
  <w:style w:type="paragraph" w:styleId="ListParagraph">
    <w:name w:val="List Paragraph"/>
    <w:basedOn w:val="Normal"/>
    <w:uiPriority w:val="34"/>
    <w:qFormat/>
    <w:rsid w:val="003C0EEF"/>
    <w:pPr>
      <w:ind w:left="720"/>
      <w:contextualSpacing/>
    </w:pPr>
  </w:style>
  <w:style w:type="character" w:styleId="Hyperlink">
    <w:name w:val="Hyperlink"/>
    <w:basedOn w:val="DefaultParagraphFont"/>
    <w:uiPriority w:val="99"/>
    <w:unhideWhenUsed/>
    <w:rsid w:val="003C0EEF"/>
    <w:rPr>
      <w:color w:val="0000FF" w:themeColor="hyperlink"/>
      <w:u w:val="single"/>
    </w:rPr>
  </w:style>
  <w:style w:type="paragraph" w:customStyle="1" w:styleId="HeadingOne">
    <w:name w:val="HeadingOne"/>
    <w:basedOn w:val="ListParagraph"/>
    <w:qFormat/>
    <w:rsid w:val="00671512"/>
    <w:pPr>
      <w:numPr>
        <w:numId w:val="1"/>
      </w:numPr>
    </w:pPr>
    <w:rPr>
      <w:b/>
    </w:rPr>
  </w:style>
  <w:style w:type="character" w:customStyle="1" w:styleId="Heading1Char">
    <w:name w:val="Heading 1 Char"/>
    <w:basedOn w:val="DefaultParagraphFont"/>
    <w:link w:val="Heading1"/>
    <w:uiPriority w:val="9"/>
    <w:rsid w:val="00671512"/>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0768FB"/>
    <w:pPr>
      <w:tabs>
        <w:tab w:val="left" w:pos="440"/>
        <w:tab w:val="right" w:leader="dot" w:pos="9016"/>
      </w:tabs>
      <w:spacing w:after="100"/>
    </w:pPr>
  </w:style>
  <w:style w:type="paragraph" w:styleId="Header">
    <w:name w:val="header"/>
    <w:basedOn w:val="Normal"/>
    <w:link w:val="HeaderChar"/>
    <w:uiPriority w:val="99"/>
    <w:unhideWhenUsed/>
    <w:rsid w:val="006715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512"/>
  </w:style>
  <w:style w:type="paragraph" w:styleId="Footer">
    <w:name w:val="footer"/>
    <w:basedOn w:val="Normal"/>
    <w:link w:val="FooterChar"/>
    <w:uiPriority w:val="99"/>
    <w:unhideWhenUsed/>
    <w:rsid w:val="006715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512"/>
  </w:style>
  <w:style w:type="paragraph" w:styleId="NormalWeb">
    <w:name w:val="Normal (Web)"/>
    <w:basedOn w:val="Normal"/>
    <w:uiPriority w:val="99"/>
    <w:semiHidden/>
    <w:unhideWhenUsed/>
    <w:rsid w:val="00353E5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46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528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964389">
      <w:bodyDiv w:val="1"/>
      <w:marLeft w:val="0"/>
      <w:marRight w:val="0"/>
      <w:marTop w:val="0"/>
      <w:marBottom w:val="0"/>
      <w:divBdr>
        <w:top w:val="none" w:sz="0" w:space="0" w:color="auto"/>
        <w:left w:val="none" w:sz="0" w:space="0" w:color="auto"/>
        <w:bottom w:val="none" w:sz="0" w:space="0" w:color="auto"/>
        <w:right w:val="none" w:sz="0" w:space="0" w:color="auto"/>
      </w:divBdr>
    </w:div>
    <w:div w:id="794569552">
      <w:bodyDiv w:val="1"/>
      <w:marLeft w:val="0"/>
      <w:marRight w:val="0"/>
      <w:marTop w:val="0"/>
      <w:marBottom w:val="0"/>
      <w:divBdr>
        <w:top w:val="none" w:sz="0" w:space="0" w:color="auto"/>
        <w:left w:val="none" w:sz="0" w:space="0" w:color="auto"/>
        <w:bottom w:val="none" w:sz="0" w:space="0" w:color="auto"/>
        <w:right w:val="none" w:sz="0" w:space="0" w:color="auto"/>
      </w:divBdr>
    </w:div>
    <w:div w:id="1298730404">
      <w:bodyDiv w:val="1"/>
      <w:marLeft w:val="0"/>
      <w:marRight w:val="0"/>
      <w:marTop w:val="0"/>
      <w:marBottom w:val="0"/>
      <w:divBdr>
        <w:top w:val="none" w:sz="0" w:space="0" w:color="auto"/>
        <w:left w:val="none" w:sz="0" w:space="0" w:color="auto"/>
        <w:bottom w:val="none" w:sz="0" w:space="0" w:color="auto"/>
        <w:right w:val="none" w:sz="0" w:space="0" w:color="auto"/>
      </w:divBdr>
    </w:div>
    <w:div w:id="1445882971">
      <w:bodyDiv w:val="1"/>
      <w:marLeft w:val="0"/>
      <w:marRight w:val="0"/>
      <w:marTop w:val="0"/>
      <w:marBottom w:val="0"/>
      <w:divBdr>
        <w:top w:val="none" w:sz="0" w:space="0" w:color="auto"/>
        <w:left w:val="none" w:sz="0" w:space="0" w:color="auto"/>
        <w:bottom w:val="none" w:sz="0" w:space="0" w:color="auto"/>
        <w:right w:val="none" w:sz="0" w:space="0" w:color="auto"/>
      </w:divBdr>
      <w:divsChild>
        <w:div w:id="1868329203">
          <w:marLeft w:val="0"/>
          <w:marRight w:val="0"/>
          <w:marTop w:val="0"/>
          <w:marBottom w:val="0"/>
          <w:divBdr>
            <w:top w:val="none" w:sz="0" w:space="0" w:color="auto"/>
            <w:left w:val="none" w:sz="0" w:space="0" w:color="auto"/>
            <w:bottom w:val="none" w:sz="0" w:space="0" w:color="auto"/>
            <w:right w:val="none" w:sz="0" w:space="0" w:color="auto"/>
          </w:divBdr>
          <w:divsChild>
            <w:div w:id="1144276156">
              <w:marLeft w:val="0"/>
              <w:marRight w:val="0"/>
              <w:marTop w:val="0"/>
              <w:marBottom w:val="0"/>
              <w:divBdr>
                <w:top w:val="none" w:sz="0" w:space="0" w:color="auto"/>
                <w:left w:val="none" w:sz="0" w:space="0" w:color="auto"/>
                <w:bottom w:val="none" w:sz="0" w:space="0" w:color="auto"/>
                <w:right w:val="none" w:sz="0" w:space="0" w:color="auto"/>
              </w:divBdr>
              <w:divsChild>
                <w:div w:id="237061370">
                  <w:marLeft w:val="0"/>
                  <w:marRight w:val="0"/>
                  <w:marTop w:val="0"/>
                  <w:marBottom w:val="0"/>
                  <w:divBdr>
                    <w:top w:val="none" w:sz="0" w:space="0" w:color="auto"/>
                    <w:left w:val="none" w:sz="0" w:space="0" w:color="auto"/>
                    <w:bottom w:val="none" w:sz="0" w:space="0" w:color="auto"/>
                    <w:right w:val="none" w:sz="0" w:space="0" w:color="auto"/>
                  </w:divBdr>
                  <w:divsChild>
                    <w:div w:id="1902908391">
                      <w:marLeft w:val="0"/>
                      <w:marRight w:val="0"/>
                      <w:marTop w:val="0"/>
                      <w:marBottom w:val="0"/>
                      <w:divBdr>
                        <w:top w:val="none" w:sz="0" w:space="0" w:color="auto"/>
                        <w:left w:val="none" w:sz="0" w:space="0" w:color="auto"/>
                        <w:bottom w:val="none" w:sz="0" w:space="0" w:color="auto"/>
                        <w:right w:val="none" w:sz="0" w:space="0" w:color="auto"/>
                      </w:divBdr>
                      <w:divsChild>
                        <w:div w:id="1665663443">
                          <w:marLeft w:val="0"/>
                          <w:marRight w:val="0"/>
                          <w:marTop w:val="0"/>
                          <w:marBottom w:val="0"/>
                          <w:divBdr>
                            <w:top w:val="none" w:sz="0" w:space="0" w:color="auto"/>
                            <w:left w:val="none" w:sz="0" w:space="0" w:color="auto"/>
                            <w:bottom w:val="none" w:sz="0" w:space="0" w:color="auto"/>
                            <w:right w:val="none" w:sz="0" w:space="0" w:color="auto"/>
                          </w:divBdr>
                          <w:divsChild>
                            <w:div w:id="8238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326914">
      <w:bodyDiv w:val="1"/>
      <w:marLeft w:val="0"/>
      <w:marRight w:val="0"/>
      <w:marTop w:val="0"/>
      <w:marBottom w:val="0"/>
      <w:divBdr>
        <w:top w:val="none" w:sz="0" w:space="0" w:color="auto"/>
        <w:left w:val="none" w:sz="0" w:space="0" w:color="auto"/>
        <w:bottom w:val="none" w:sz="0" w:space="0" w:color="auto"/>
        <w:right w:val="none" w:sz="0" w:space="0" w:color="auto"/>
      </w:divBdr>
    </w:div>
    <w:div w:id="183228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864D9-8733-4B9A-81A5-E9CEDD805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2412</Words>
  <Characters>13750</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16130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Mitchell, Stuart</cp:lastModifiedBy>
  <cp:revision>2</cp:revision>
  <cp:lastPrinted>2020-02-03T15:18:00Z</cp:lastPrinted>
  <dcterms:created xsi:type="dcterms:W3CDTF">2020-03-11T15:56:00Z</dcterms:created>
  <dcterms:modified xsi:type="dcterms:W3CDTF">2020-03-11T15:56:00Z</dcterms:modified>
</cp:coreProperties>
</file>