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B3" w:rsidRPr="002B2631" w:rsidRDefault="00973D2E" w:rsidP="00A84525">
      <w:pPr>
        <w:ind w:left="-567"/>
        <w:jc w:val="right"/>
        <w:rPr>
          <w:b/>
          <w:sz w:val="28"/>
          <w:szCs w:val="28"/>
        </w:rPr>
      </w:pPr>
      <w:r w:rsidRPr="002B263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428625</wp:posOffset>
                </wp:positionV>
                <wp:extent cx="9544050" cy="752475"/>
                <wp:effectExtent l="76200" t="57150" r="76200" b="1047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0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AD8" w:rsidRPr="00871AD8" w:rsidRDefault="00AD2A46" w:rsidP="00803D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871AD8" w:rsidRPr="00871AD8">
                              <w:rPr>
                                <w:sz w:val="28"/>
                                <w:szCs w:val="28"/>
                              </w:rPr>
                              <w:t>e are committed to providing a safe and healthy environment for our University Community and those who visit us through commitment at all levels within the University.</w:t>
                            </w:r>
                          </w:p>
                          <w:p w:rsidR="00973D2E" w:rsidRDefault="00973D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33.75pt;width:751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871AD8" w:rsidRPr="00871AD8" w:rsidRDefault="00AD2A46" w:rsidP="00803D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</w:t>
                      </w:r>
                      <w:r w:rsidR="00871AD8" w:rsidRPr="00871AD8">
                        <w:rPr>
                          <w:sz w:val="28"/>
                          <w:szCs w:val="28"/>
                        </w:rPr>
                        <w:t>e are committed to providing a safe and healthy environment for our University Community and those who visit us through commitment at all levels within the University.</w:t>
                      </w:r>
                    </w:p>
                    <w:p w:rsidR="00973D2E" w:rsidRDefault="00973D2E"/>
                  </w:txbxContent>
                </v:textbox>
                <w10:wrap type="square"/>
              </v:shape>
            </w:pict>
          </mc:Fallback>
        </mc:AlternateContent>
      </w:r>
      <w:r w:rsidR="00D33A85">
        <w:rPr>
          <w:b/>
          <w:sz w:val="28"/>
          <w:szCs w:val="28"/>
        </w:rPr>
        <w:t xml:space="preserve"> </w:t>
      </w:r>
      <w:r w:rsidR="002B2631" w:rsidRPr="002B2631">
        <w:rPr>
          <w:b/>
          <w:sz w:val="28"/>
          <w:szCs w:val="28"/>
        </w:rPr>
        <w:t>Health</w:t>
      </w:r>
      <w:r w:rsidR="002B2631">
        <w:t xml:space="preserve"> </w:t>
      </w:r>
      <w:r w:rsidR="002B2631" w:rsidRPr="002B2631">
        <w:rPr>
          <w:b/>
          <w:sz w:val="28"/>
          <w:szCs w:val="28"/>
        </w:rPr>
        <w:t>and Safety Strategic Plan 2030</w:t>
      </w:r>
    </w:p>
    <w:p w:rsidR="00B80227" w:rsidRDefault="008116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2814955</wp:posOffset>
                </wp:positionV>
                <wp:extent cx="1209675" cy="828675"/>
                <wp:effectExtent l="0" t="0" r="9525" b="952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28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698" w:rsidRPr="006A1BDF" w:rsidRDefault="00811698" w:rsidP="00811698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A1BD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Safe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7" style="position:absolute;margin-left:294pt;margin-top:221.65pt;width:95.25pt;height:65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" fillcolor="white [3212]" stroked="f" strokeweight="2pt">
                <v:textbox>
                  <w:txbxContent>
                    <w:p w:rsidR="00811698" w:rsidRPr="006A1BDF" w:rsidRDefault="00811698" w:rsidP="00811698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6A1BD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Safe Campus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871AD8" w:rsidRPr="006A1BDF">
        <w:rPr>
          <w:noProof/>
          <w:color w:val="FFFFFF" w:themeColor="background1"/>
          <w:shd w:val="clear" w:color="auto" w:fill="FFFFFF" w:themeFill="background1"/>
          <w:lang w:eastAsia="en-GB"/>
        </w:rPr>
        <w:drawing>
          <wp:inline distT="0" distB="0" distL="0" distR="0" wp14:anchorId="006DF4EB" wp14:editId="1559990A">
            <wp:extent cx="8743950" cy="4333875"/>
            <wp:effectExtent l="0" t="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CE69EA" w:rsidRDefault="00CE69EA"/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00"/>
        <w:gridCol w:w="7106"/>
        <w:gridCol w:w="6662"/>
      </w:tblGrid>
      <w:tr w:rsidR="006E7F6F" w:rsidRPr="00EB3FC4" w:rsidTr="006E7F6F">
        <w:tc>
          <w:tcPr>
            <w:tcW w:w="1400" w:type="dxa"/>
            <w:shd w:val="clear" w:color="auto" w:fill="1F497D" w:themeFill="text2"/>
          </w:tcPr>
          <w:p w:rsidR="006E7F6F" w:rsidRPr="00EB3FC4" w:rsidRDefault="006E7F6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1F497D" w:themeFill="text2"/>
          </w:tcPr>
          <w:p w:rsidR="006E7F6F" w:rsidRPr="00790DC3" w:rsidRDefault="006E7F6F" w:rsidP="00790DC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0D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Where are we now?</w:t>
            </w:r>
          </w:p>
        </w:tc>
        <w:tc>
          <w:tcPr>
            <w:tcW w:w="6662" w:type="dxa"/>
            <w:shd w:val="clear" w:color="auto" w:fill="1F497D" w:themeFill="text2"/>
          </w:tcPr>
          <w:p w:rsidR="006E7F6F" w:rsidRPr="00790DC3" w:rsidRDefault="006E7F6F" w:rsidP="00790DC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90DC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Where do we want to be?</w:t>
            </w:r>
          </w:p>
          <w:p w:rsidR="006E7F6F" w:rsidRPr="00790DC3" w:rsidRDefault="006E7F6F" w:rsidP="00790DC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7F6F" w:rsidRPr="00EB3FC4" w:rsidTr="006E7F6F">
        <w:tc>
          <w:tcPr>
            <w:tcW w:w="1400" w:type="dxa"/>
            <w:shd w:val="clear" w:color="auto" w:fill="365F91" w:themeFill="accent1" w:themeFillShade="BF"/>
          </w:tcPr>
          <w:p w:rsidR="006E7F6F" w:rsidRPr="00EB3FC4" w:rsidRDefault="006E7F6F">
            <w:pPr>
              <w:rPr>
                <w:sz w:val="20"/>
                <w:szCs w:val="20"/>
              </w:rPr>
            </w:pPr>
            <w:r w:rsidRPr="00EB3FC4">
              <w:rPr>
                <w:b/>
                <w:color w:val="FFFFFF" w:themeColor="background1"/>
                <w:sz w:val="20"/>
                <w:szCs w:val="20"/>
              </w:rPr>
              <w:t>Demonstrate Safety Leadership</w:t>
            </w:r>
          </w:p>
        </w:tc>
        <w:tc>
          <w:tcPr>
            <w:tcW w:w="7106" w:type="dxa"/>
            <w:shd w:val="clear" w:color="auto" w:fill="DBE5F1" w:themeFill="accent1" w:themeFillTint="33"/>
          </w:tcPr>
          <w:p w:rsidR="006E7F6F" w:rsidRPr="00EB3FC4" w:rsidRDefault="006E7F6F" w:rsidP="005554D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3F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Leadership in health and safety is demonstrated through our H&amp;S Committee structure with an agenda item on People Committee, Executive member chairing the University Health, Safety and Wellbeing Committee and Deans chairing their School H&amp;S Committees</w:t>
            </w:r>
          </w:p>
          <w:p w:rsidR="006E7F6F" w:rsidRPr="00EB3FC4" w:rsidRDefault="006E7F6F" w:rsidP="005554D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B3F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and Safety Leadership training started and attended by People Committee members and University Executive Group</w:t>
            </w:r>
          </w:p>
          <w:p w:rsidR="006E7F6F" w:rsidRPr="00EB3FC4" w:rsidRDefault="006E7F6F" w:rsidP="007F692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3FC4">
              <w:rPr>
                <w:rFonts w:asciiTheme="minorHAnsi" w:hAnsiTheme="minorHAnsi" w:cstheme="minorHAnsi"/>
                <w:sz w:val="20"/>
                <w:szCs w:val="20"/>
              </w:rPr>
              <w:t>Managers health and safety session within People Manager’s Pathway</w:t>
            </w:r>
          </w:p>
          <w:p w:rsidR="006E7F6F" w:rsidRPr="00BD382A" w:rsidRDefault="006E7F6F" w:rsidP="007F692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B3FC4">
              <w:rPr>
                <w:rFonts w:asciiTheme="minorHAnsi" w:hAnsiTheme="minorHAnsi" w:cstheme="minorHAnsi"/>
                <w:sz w:val="20"/>
                <w:szCs w:val="20"/>
              </w:rPr>
              <w:t>Health, Safety and Wellbeing Policy signed by the Principal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requires review</w:t>
            </w:r>
          </w:p>
          <w:p w:rsidR="006E7F6F" w:rsidRPr="00BD382A" w:rsidRDefault="006E7F6F" w:rsidP="007F692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D382A">
              <w:rPr>
                <w:rFonts w:asciiTheme="minorHAnsi" w:hAnsiTheme="minorHAnsi" w:cstheme="minorHAnsi"/>
                <w:sz w:val="20"/>
                <w:szCs w:val="20"/>
              </w:rPr>
              <w:t>H&amp;S is considered as part of strategic/core decision-making process</w:t>
            </w:r>
          </w:p>
          <w:p w:rsidR="006E7F6F" w:rsidRPr="00EB3FC4" w:rsidRDefault="006E7F6F" w:rsidP="00CF3C43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BE5F1" w:themeFill="accent1" w:themeFillTint="33"/>
          </w:tcPr>
          <w:p w:rsidR="006E7F6F" w:rsidRPr="00EB3FC4" w:rsidRDefault="006E7F6F" w:rsidP="002016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3FC4">
              <w:rPr>
                <w:rFonts w:asciiTheme="minorHAnsi" w:hAnsiTheme="minorHAnsi" w:cstheme="minorHAnsi"/>
                <w:sz w:val="20"/>
                <w:szCs w:val="20"/>
              </w:rPr>
              <w:t xml:space="preserve">Leaders and managers are confident about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understand </w:t>
            </w:r>
            <w:r w:rsidRPr="00EB3FC4">
              <w:rPr>
                <w:rFonts w:asciiTheme="minorHAnsi" w:hAnsiTheme="minorHAnsi" w:cstheme="minorHAnsi"/>
                <w:sz w:val="20"/>
                <w:szCs w:val="20"/>
              </w:rPr>
              <w:t>their roles and responsibilities in relation to health and safety</w:t>
            </w:r>
          </w:p>
          <w:p w:rsidR="006E7F6F" w:rsidRPr="00EB3FC4" w:rsidRDefault="006E7F6F" w:rsidP="007F692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3FC4">
              <w:rPr>
                <w:rFonts w:asciiTheme="minorHAnsi" w:hAnsiTheme="minorHAnsi" w:cstheme="minorHAnsi"/>
                <w:sz w:val="20"/>
                <w:szCs w:val="20"/>
              </w:rPr>
              <w:t>Have an ongoing programme of Health and Safety training for all levels of management that is flexible enough to enable provision when new people start or are promoted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meets our KPI of 90% completion rate</w:t>
            </w:r>
          </w:p>
          <w:p w:rsidR="006E7F6F" w:rsidRDefault="006E7F6F" w:rsidP="00BD382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3FC4">
              <w:rPr>
                <w:rFonts w:asciiTheme="minorHAnsi" w:hAnsiTheme="minorHAnsi" w:cstheme="minorHAnsi"/>
                <w:sz w:val="20"/>
                <w:szCs w:val="20"/>
              </w:rPr>
              <w:t xml:space="preserve">Health,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B3FC4">
              <w:rPr>
                <w:rFonts w:asciiTheme="minorHAnsi" w:hAnsiTheme="minorHAnsi" w:cstheme="minorHAnsi"/>
                <w:sz w:val="20"/>
                <w:szCs w:val="20"/>
              </w:rPr>
              <w:t>afety and Wellbeing Policy revised and signed by new Principal</w:t>
            </w:r>
          </w:p>
          <w:p w:rsidR="006E7F6F" w:rsidRPr="002A5C40" w:rsidRDefault="006E7F6F" w:rsidP="00635CF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H&amp;S is built into </w:t>
            </w: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strategic/core decision-making process</w:t>
            </w:r>
          </w:p>
          <w:p w:rsidR="006E7F6F" w:rsidRPr="00EB3FC4" w:rsidRDefault="006E7F6F" w:rsidP="00CF3C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7F6F" w:rsidRPr="00EB3FC4" w:rsidTr="006E7F6F">
        <w:tc>
          <w:tcPr>
            <w:tcW w:w="1400" w:type="dxa"/>
            <w:shd w:val="clear" w:color="auto" w:fill="76923C" w:themeFill="accent3" w:themeFillShade="BF"/>
          </w:tcPr>
          <w:p w:rsidR="006E7F6F" w:rsidRPr="00EB3FC4" w:rsidRDefault="006E7F6F">
            <w:pPr>
              <w:rPr>
                <w:b/>
                <w:sz w:val="20"/>
                <w:szCs w:val="20"/>
              </w:rPr>
            </w:pPr>
            <w:r w:rsidRPr="004632B0">
              <w:rPr>
                <w:b/>
                <w:color w:val="FFFFFF" w:themeColor="background1"/>
                <w:sz w:val="20"/>
                <w:szCs w:val="20"/>
              </w:rPr>
              <w:t>Risk Management and robust systems</w:t>
            </w:r>
          </w:p>
        </w:tc>
        <w:tc>
          <w:tcPr>
            <w:tcW w:w="7106" w:type="dxa"/>
            <w:shd w:val="clear" w:color="auto" w:fill="DBE5F1" w:themeFill="accent1" w:themeFillTint="33"/>
          </w:tcPr>
          <w:p w:rsidR="006E7F6F" w:rsidRPr="002A5C40" w:rsidRDefault="006E7F6F" w:rsidP="004632B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Health and safety management system in place that aligns to HSG 65 </w:t>
            </w:r>
          </w:p>
          <w:p w:rsidR="00A8468B" w:rsidRDefault="006E7F6F" w:rsidP="00A8468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and Safety Profile and Risk Register and findings from annual review fed back in to support continuous improvement</w:t>
            </w:r>
          </w:p>
          <w:p w:rsidR="00A8468B" w:rsidRPr="00CE69EA" w:rsidRDefault="00A8468B" w:rsidP="00CE62A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E69E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Strategic Framework for a University-wide approach to Health and Wellbeing approved by University Executive Group</w:t>
            </w:r>
          </w:p>
          <w:p w:rsidR="006E7F6F" w:rsidRPr="002A5C40" w:rsidRDefault="006E7F6F" w:rsidP="004632B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Lack of measures in place to evaluate our health and safety management system with last Health and Safety Audit Programme completed in 2017</w:t>
            </w:r>
          </w:p>
          <w:p w:rsidR="006E7F6F" w:rsidRPr="002A5C40" w:rsidRDefault="006E7F6F" w:rsidP="000529A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University Health and Safety Key Performance Indicators (Quantitative) developed and implemented on a phased basis. Reported within Annual H&amp;S Report to People Committee, UEG and HSW Committee</w:t>
            </w:r>
          </w:p>
          <w:p w:rsidR="006E7F6F" w:rsidRPr="002A5C40" w:rsidRDefault="006E7F6F" w:rsidP="00EE7D8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and Safety Policy and procedures in place for the majority of hazards</w:t>
            </w:r>
          </w:p>
          <w:p w:rsidR="006E7F6F" w:rsidRPr="002A5C40" w:rsidRDefault="006E7F6F" w:rsidP="00EE7D8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Online workstation training and assessments available for new starts and staff with discomfort</w:t>
            </w:r>
          </w:p>
          <w:p w:rsidR="006E7F6F" w:rsidRPr="002A5C40" w:rsidRDefault="006E7F6F" w:rsidP="00F279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School Deans and Directors submit an Annual Health and Safety Report to demonstrate H&amp;S management status within their areas of responsibility</w:t>
            </w:r>
          </w:p>
          <w:p w:rsidR="006E7F6F" w:rsidRDefault="006E7F6F" w:rsidP="005650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Paper based systems for University wide processes such as accident reporting, general and specific risk assessments and local oversight of health and safety documentation </w:t>
            </w:r>
          </w:p>
          <w:p w:rsidR="00E75811" w:rsidRPr="002A5C40" w:rsidRDefault="00E75811" w:rsidP="00A8468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BE5F1" w:themeFill="accent1" w:themeFillTint="33"/>
          </w:tcPr>
          <w:p w:rsidR="006E7F6F" w:rsidRPr="00E75811" w:rsidRDefault="006E7F6F" w:rsidP="00E75811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18"/>
              </w:tabs>
              <w:ind w:left="318" w:hanging="31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robust audit programme in place to evaluate performance and identify continuous improvement</w:t>
            </w:r>
          </w:p>
          <w:p w:rsidR="006E7F6F" w:rsidRPr="00E75811" w:rsidRDefault="006E7F6F" w:rsidP="00E75811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18"/>
              </w:tabs>
              <w:ind w:left="318" w:hanging="31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Evaluate and measure the impact of our health and safety performance through an agreed set of quantitative and qualitative KPI’s </w:t>
            </w:r>
          </w:p>
          <w:p w:rsidR="006E7F6F" w:rsidRPr="002A5C40" w:rsidRDefault="006E7F6F" w:rsidP="002016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Procedures and/or guidance available for all our hazards to ensure staff can access the relevant information </w:t>
            </w:r>
          </w:p>
          <w:p w:rsidR="006E7F6F" w:rsidRPr="002A5C40" w:rsidRDefault="006E7F6F" w:rsidP="000B27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Revised process in place for workstation training and assessment to support staff, particularly those with health conditions</w:t>
            </w:r>
          </w:p>
          <w:p w:rsidR="006E7F6F" w:rsidRPr="002A5C40" w:rsidRDefault="006E7F6F" w:rsidP="000B27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Higher risk local areas have KPI’s in place and report on these</w:t>
            </w:r>
          </w:p>
          <w:p w:rsidR="006E7F6F" w:rsidRPr="002A5C40" w:rsidRDefault="006E7F6F" w:rsidP="000B27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Robust process and KPI’s in place for Hazardous substances (or Scientific Hazards) </w:t>
            </w:r>
            <w:proofErr w:type="spellStart"/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eg.</w:t>
            </w:r>
            <w:proofErr w:type="spellEnd"/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Rad, Bio, Chemical</w:t>
            </w:r>
          </w:p>
          <w:p w:rsidR="006E7F6F" w:rsidRPr="002A5C40" w:rsidRDefault="006E7F6F" w:rsidP="000B27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That each School/Dept has a risk assessment log that identifies the significant risks within their areas of responsibility</w:t>
            </w:r>
          </w:p>
          <w:p w:rsidR="006E7F6F" w:rsidRPr="002A5C40" w:rsidRDefault="006E7F6F" w:rsidP="005650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 systems in place for University wide processes and improved University oversight of documentation and management of H&amp;S</w:t>
            </w:r>
          </w:p>
        </w:tc>
      </w:tr>
      <w:tr w:rsidR="006E7F6F" w:rsidRPr="00EB3FC4" w:rsidTr="006E7F6F">
        <w:tc>
          <w:tcPr>
            <w:tcW w:w="1400" w:type="dxa"/>
            <w:shd w:val="clear" w:color="auto" w:fill="FFC000"/>
          </w:tcPr>
          <w:p w:rsidR="006E7F6F" w:rsidRPr="00EB3FC4" w:rsidRDefault="006E7F6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Learning and Development</w:t>
            </w:r>
          </w:p>
        </w:tc>
        <w:tc>
          <w:tcPr>
            <w:tcW w:w="7106" w:type="dxa"/>
            <w:shd w:val="clear" w:color="auto" w:fill="DBE5F1" w:themeFill="accent1" w:themeFillTint="33"/>
          </w:tcPr>
          <w:p w:rsidR="006E7F6F" w:rsidRPr="002A5C40" w:rsidRDefault="006E7F6F" w:rsidP="00F279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Training for staff made available when requested and resources are available </w:t>
            </w:r>
          </w:p>
          <w:p w:rsidR="006E7F6F" w:rsidRPr="002A5C40" w:rsidRDefault="006E7F6F" w:rsidP="00F279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Training matrix in place but requires a refresh </w:t>
            </w:r>
          </w:p>
          <w:p w:rsidR="006E7F6F" w:rsidRPr="002A5C40" w:rsidRDefault="006E7F6F" w:rsidP="000B27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Health and safety included within the staff induction programme</w:t>
            </w:r>
          </w:p>
          <w:p w:rsidR="006E7F6F" w:rsidRPr="002A5C40" w:rsidRDefault="006E7F6F" w:rsidP="000B27E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Workstation training (online and mandatory) for new staff and staff with discomfort</w:t>
            </w:r>
          </w:p>
          <w:p w:rsidR="006E7F6F" w:rsidRPr="002A5C40" w:rsidRDefault="006E7F6F" w:rsidP="00F279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Training spreadsheet to record all health and safety training and limited measurement for completion of training although some KPI’s have been set</w:t>
            </w:r>
          </w:p>
          <w:p w:rsidR="006E7F6F" w:rsidRPr="002A5C40" w:rsidRDefault="006E7F6F" w:rsidP="00F279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Evaluation form available to measure benefit gained from training</w:t>
            </w:r>
          </w:p>
          <w:p w:rsidR="006E7F6F" w:rsidRPr="002A5C40" w:rsidRDefault="006E7F6F" w:rsidP="000B27E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BE5F1" w:themeFill="accent1" w:themeFillTint="33"/>
          </w:tcPr>
          <w:p w:rsidR="006E7F6F" w:rsidRPr="002A5C40" w:rsidRDefault="006E7F6F" w:rsidP="00DD3A6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Revised and sustainable health and safety training and competency framework in place that meets our risk profile</w:t>
            </w:r>
          </w:p>
          <w:p w:rsidR="006E7F6F" w:rsidRPr="002A5C40" w:rsidRDefault="006E7F6F" w:rsidP="00DD3A6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Improve health and safety culture by providing required training for staff roles and new staff on starting the University</w:t>
            </w:r>
          </w:p>
          <w:p w:rsidR="006E7F6F" w:rsidRPr="002A5C40" w:rsidRDefault="006E7F6F" w:rsidP="00F079C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Staff receive required training for their role and understand the risks faced </w:t>
            </w:r>
          </w:p>
          <w:p w:rsidR="006E7F6F" w:rsidRPr="002A5C40" w:rsidRDefault="006E7F6F" w:rsidP="00F079C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New staff receiving all mandatory training within one week of starting (including H&amp;S induction, fire safety awareness)</w:t>
            </w:r>
          </w:p>
          <w:p w:rsidR="006E7F6F" w:rsidRPr="002A5C40" w:rsidRDefault="006E7F6F" w:rsidP="00F079C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Improved measurement capabilities through an IT system to record, track and report on all health and safety training and provide assurance on completion rates</w:t>
            </w:r>
          </w:p>
          <w:p w:rsidR="006E7F6F" w:rsidRPr="002A5C40" w:rsidRDefault="006E7F6F" w:rsidP="00CB486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in place to ensure consistent evaluation of the training provided</w:t>
            </w:r>
          </w:p>
        </w:tc>
      </w:tr>
      <w:tr w:rsidR="006E7F6F" w:rsidRPr="00EB3FC4" w:rsidTr="006E7F6F">
        <w:tc>
          <w:tcPr>
            <w:tcW w:w="1400" w:type="dxa"/>
            <w:shd w:val="clear" w:color="auto" w:fill="5F497A" w:themeFill="accent4" w:themeFillShade="BF"/>
          </w:tcPr>
          <w:p w:rsidR="006E7F6F" w:rsidRPr="00EB3FC4" w:rsidRDefault="006E7F6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Campus Safety and Resilience</w:t>
            </w:r>
          </w:p>
        </w:tc>
        <w:tc>
          <w:tcPr>
            <w:tcW w:w="7106" w:type="dxa"/>
            <w:shd w:val="clear" w:color="auto" w:fill="DBE5F1" w:themeFill="accent1" w:themeFillTint="33"/>
          </w:tcPr>
          <w:p w:rsidR="006E7F6F" w:rsidRPr="002A5C40" w:rsidRDefault="006E7F6F" w:rsidP="00F279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Paper-based system for contractor management and permit to work</w:t>
            </w:r>
          </w:p>
          <w:p w:rsidR="006E7F6F" w:rsidRPr="002A5C40" w:rsidRDefault="006E7F6F" w:rsidP="00A927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Emergency procedures in place to respond to incidents including fire alarm activations and first aid provision.</w:t>
            </w:r>
          </w:p>
          <w:p w:rsidR="006E7F6F" w:rsidRPr="002A5C40" w:rsidRDefault="006E7F6F" w:rsidP="00A927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Campus compliance assurance through planned preventative maintenance. </w:t>
            </w:r>
          </w:p>
          <w:p w:rsidR="006E7F6F" w:rsidRPr="002A5C40" w:rsidRDefault="006E7F6F" w:rsidP="00A927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Suitable and sufficient risk assessments in place for campus operations. </w:t>
            </w:r>
          </w:p>
          <w:p w:rsidR="006E7F6F" w:rsidRPr="002A5C40" w:rsidRDefault="006E7F6F" w:rsidP="00A927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Business continuity arrangements in place and exercised. </w:t>
            </w:r>
          </w:p>
          <w:p w:rsidR="006E7F6F" w:rsidRPr="002A5C40" w:rsidRDefault="006E7F6F" w:rsidP="003220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Fire safety procedures in place. 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6E7F6F" w:rsidRPr="002A5C40" w:rsidRDefault="006E7F6F" w:rsidP="002016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Online contractor management systems.</w:t>
            </w:r>
          </w:p>
          <w:p w:rsidR="006E7F6F" w:rsidRPr="002A5C40" w:rsidRDefault="006E7F6F" w:rsidP="002016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Revised emergency arrangements taking into consideration requirements from incoming Terrorism (Protection of Premises) Bill. </w:t>
            </w:r>
          </w:p>
          <w:p w:rsidR="006E7F6F" w:rsidRPr="002A5C40" w:rsidRDefault="006E7F6F" w:rsidP="002016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Long term asset management approach to legislative compliance within the Estate. </w:t>
            </w:r>
          </w:p>
          <w:p w:rsidR="006E7F6F" w:rsidRPr="002A5C40" w:rsidRDefault="006E7F6F" w:rsidP="00A927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Fire safety awareness training implemented for new starts and refresher for all existing staff. </w:t>
            </w:r>
          </w:p>
        </w:tc>
      </w:tr>
      <w:tr w:rsidR="006E7F6F" w:rsidRPr="00EB3FC4" w:rsidTr="006E7F6F">
        <w:tc>
          <w:tcPr>
            <w:tcW w:w="1400" w:type="dxa"/>
            <w:shd w:val="clear" w:color="auto" w:fill="31849B" w:themeFill="accent5" w:themeFillShade="BF"/>
          </w:tcPr>
          <w:p w:rsidR="006E7F6F" w:rsidRDefault="006E7F6F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Health and Safety in GCU Values and Behaviours</w:t>
            </w:r>
          </w:p>
        </w:tc>
        <w:tc>
          <w:tcPr>
            <w:tcW w:w="13768" w:type="dxa"/>
            <w:gridSpan w:val="2"/>
            <w:shd w:val="clear" w:color="auto" w:fill="DBE5F1" w:themeFill="accent1" w:themeFillTint="33"/>
          </w:tcPr>
          <w:p w:rsidR="006E7F6F" w:rsidRPr="002A5C40" w:rsidRDefault="006E7F6F" w:rsidP="00EE340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5C40">
              <w:rPr>
                <w:rFonts w:cstheme="minorHAnsi"/>
                <w:b/>
                <w:color w:val="000000" w:themeColor="text1"/>
                <w:sz w:val="20"/>
                <w:szCs w:val="20"/>
              </w:rPr>
              <w:t>Integrity:</w:t>
            </w:r>
          </w:p>
          <w:p w:rsidR="006E7F6F" w:rsidRPr="002A5C40" w:rsidRDefault="006E7F6F" w:rsidP="00E72E2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Strive to make a positive difference to our community through a safe campus </w:t>
            </w:r>
          </w:p>
          <w:p w:rsidR="006E7F6F" w:rsidRPr="002A5C40" w:rsidRDefault="006E7F6F" w:rsidP="00E72E2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Promote shared and individual ownership and responsibility for health and safety</w:t>
            </w:r>
          </w:p>
          <w:p w:rsidR="006E7F6F" w:rsidRPr="002A5C40" w:rsidRDefault="006E7F6F" w:rsidP="00E72E2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Show respect to our colleagues and work in a supportive way to find collaborative solutions</w:t>
            </w:r>
          </w:p>
          <w:p w:rsidR="006E7F6F" w:rsidRPr="002A5C40" w:rsidRDefault="006E7F6F" w:rsidP="00EE34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E7F6F" w:rsidRPr="002A5C40" w:rsidRDefault="006E7F6F" w:rsidP="00EE340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5C40">
              <w:rPr>
                <w:rFonts w:cstheme="minorHAnsi"/>
                <w:b/>
                <w:color w:val="000000" w:themeColor="text1"/>
                <w:sz w:val="20"/>
                <w:szCs w:val="20"/>
              </w:rPr>
              <w:t>Creativity:</w:t>
            </w:r>
          </w:p>
          <w:p w:rsidR="006E7F6F" w:rsidRPr="002A5C40" w:rsidRDefault="006E7F6F" w:rsidP="00E72E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Explore opportunities to find health and safety solutions to enable safe work, study and research </w:t>
            </w:r>
          </w:p>
          <w:p w:rsidR="006E7F6F" w:rsidRPr="002A5C40" w:rsidRDefault="006E7F6F" w:rsidP="00E72E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Work collaboratively, drawing on our internal expertise and knowledge to find practical risk-based solutions</w:t>
            </w:r>
          </w:p>
          <w:p w:rsidR="006E7F6F" w:rsidRPr="002A5C40" w:rsidRDefault="006E7F6F" w:rsidP="00CB486E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6E7F6F" w:rsidRPr="002A5C40" w:rsidRDefault="006E7F6F" w:rsidP="00E72E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E7F6F" w:rsidRPr="002A5C40" w:rsidRDefault="006E7F6F" w:rsidP="00E72E2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5C40">
              <w:rPr>
                <w:rFonts w:cstheme="minorHAnsi"/>
                <w:b/>
                <w:color w:val="000000" w:themeColor="text1"/>
                <w:sz w:val="20"/>
                <w:szCs w:val="20"/>
              </w:rPr>
              <w:t>Responsibility:</w:t>
            </w:r>
          </w:p>
          <w:p w:rsidR="006E7F6F" w:rsidRPr="002A5C40" w:rsidRDefault="006E7F6F" w:rsidP="00B43FE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Comply with all health and safety laws and regulations </w:t>
            </w:r>
          </w:p>
          <w:p w:rsidR="006E7F6F" w:rsidRPr="002A5C40" w:rsidRDefault="006E7F6F" w:rsidP="005650E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Ensure each individual is aware of the risks they are responsible for and responsibilities are clearly defined</w:t>
            </w:r>
          </w:p>
          <w:p w:rsidR="006E7F6F" w:rsidRPr="002A5C40" w:rsidRDefault="006E7F6F" w:rsidP="00E72E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Structures are in place to ensure good oversight and management of the most significant risks to the University </w:t>
            </w:r>
          </w:p>
          <w:p w:rsidR="006E7F6F" w:rsidRPr="002A5C40" w:rsidRDefault="006E7F6F" w:rsidP="00CB486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E7F6F" w:rsidRPr="002A5C40" w:rsidRDefault="006E7F6F" w:rsidP="00CB486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cstheme="minorHAnsi"/>
                <w:b/>
                <w:color w:val="000000" w:themeColor="text1"/>
                <w:sz w:val="20"/>
                <w:szCs w:val="20"/>
              </w:rPr>
              <w:t>Confidence:</w:t>
            </w:r>
          </w:p>
          <w:p w:rsidR="006E7F6F" w:rsidRPr="002A5C40" w:rsidRDefault="006E7F6F" w:rsidP="00CB486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Ensure leaders and managers are aware of their responsibilities and are supported to have the skills, knowledge and confidence to discharge their health and safety responsibilities</w:t>
            </w:r>
          </w:p>
          <w:p w:rsidR="006E7F6F" w:rsidRPr="002A5C40" w:rsidRDefault="006E7F6F" w:rsidP="00F26908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A5C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Ensure the competence of our health and safety networks are enhanced through support and training</w:t>
            </w:r>
          </w:p>
          <w:p w:rsidR="006E7F6F" w:rsidRPr="00EE340D" w:rsidRDefault="006E7F6F" w:rsidP="00EE340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F8439A" w:rsidRDefault="00F8439A">
      <w:pPr>
        <w:rPr>
          <w:b/>
        </w:rPr>
      </w:pPr>
    </w:p>
    <w:p w:rsidR="00F8439A" w:rsidRDefault="00F8439A">
      <w:pPr>
        <w:rPr>
          <w:b/>
        </w:rPr>
      </w:pPr>
    </w:p>
    <w:p w:rsidR="00A82260" w:rsidRDefault="00A82260">
      <w:pPr>
        <w:rPr>
          <w:b/>
        </w:rPr>
      </w:pPr>
    </w:p>
    <w:p w:rsidR="00A82260" w:rsidRDefault="00A82260">
      <w:pPr>
        <w:rPr>
          <w:b/>
        </w:rPr>
      </w:pPr>
    </w:p>
    <w:p w:rsidR="00A82260" w:rsidRDefault="00A82260">
      <w:pPr>
        <w:rPr>
          <w:b/>
        </w:rPr>
      </w:pPr>
    </w:p>
    <w:p w:rsidR="00A82260" w:rsidRDefault="006E7F6F" w:rsidP="00A84525">
      <w:pPr>
        <w:ind w:left="-709"/>
        <w:rPr>
          <w:b/>
        </w:rPr>
      </w:pPr>
      <w:r>
        <w:rPr>
          <w:b/>
        </w:rPr>
        <w:t>I</w:t>
      </w:r>
      <w:r w:rsidR="00A82260">
        <w:rPr>
          <w:b/>
        </w:rPr>
        <w:t>mplementation Plan – 2024/2025 and 2025/2026</w:t>
      </w:r>
    </w:p>
    <w:tbl>
      <w:tblPr>
        <w:tblStyle w:val="TableGrid"/>
        <w:tblW w:w="15866" w:type="dxa"/>
        <w:tblInd w:w="-714" w:type="dxa"/>
        <w:tblLook w:val="04A0" w:firstRow="1" w:lastRow="0" w:firstColumn="1" w:lastColumn="0" w:noHBand="0" w:noVBand="1"/>
      </w:tblPr>
      <w:tblGrid>
        <w:gridCol w:w="1359"/>
        <w:gridCol w:w="1789"/>
        <w:gridCol w:w="1528"/>
        <w:gridCol w:w="1379"/>
        <w:gridCol w:w="2444"/>
        <w:gridCol w:w="245"/>
        <w:gridCol w:w="2260"/>
        <w:gridCol w:w="1528"/>
        <w:gridCol w:w="1379"/>
        <w:gridCol w:w="1955"/>
      </w:tblGrid>
      <w:tr w:rsidR="00AE00E8" w:rsidRPr="00790DC3" w:rsidTr="00B85983">
        <w:tc>
          <w:tcPr>
            <w:tcW w:w="1359" w:type="dxa"/>
            <w:shd w:val="clear" w:color="auto" w:fill="1F497D" w:themeFill="text2"/>
          </w:tcPr>
          <w:p w:rsidR="00C42755" w:rsidRPr="00EB3FC4" w:rsidRDefault="00C42755" w:rsidP="00647AE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1F497D" w:themeFill="text2"/>
          </w:tcPr>
          <w:p w:rsidR="00C42755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Implementation 2024/2025</w:t>
            </w:r>
          </w:p>
          <w:p w:rsidR="00C42755" w:rsidRPr="00790DC3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1F497D" w:themeFill="text2"/>
          </w:tcPr>
          <w:p w:rsidR="00C42755" w:rsidRPr="00ED3210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Timescale</w:t>
            </w:r>
          </w:p>
        </w:tc>
        <w:tc>
          <w:tcPr>
            <w:tcW w:w="1379" w:type="dxa"/>
            <w:shd w:val="clear" w:color="auto" w:fill="1F497D" w:themeFill="text2"/>
          </w:tcPr>
          <w:p w:rsidR="00C42755" w:rsidRPr="00ED3210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  <w:tc>
          <w:tcPr>
            <w:tcW w:w="2444" w:type="dxa"/>
            <w:shd w:val="clear" w:color="auto" w:fill="1F497D" w:themeFill="text2"/>
          </w:tcPr>
          <w:p w:rsidR="00C42755" w:rsidRPr="00790DC3" w:rsidRDefault="00C42755" w:rsidP="00647AE4">
            <w:pPr>
              <w:rPr>
                <w:rFonts w:cstheme="minorHAnsi"/>
                <w:b/>
                <w:sz w:val="20"/>
                <w:szCs w:val="20"/>
              </w:rPr>
            </w:pPr>
            <w:r w:rsidRPr="00ED321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KPIs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for 2024/2025</w:t>
            </w:r>
          </w:p>
        </w:tc>
        <w:tc>
          <w:tcPr>
            <w:tcW w:w="245" w:type="dxa"/>
            <w:vMerge w:val="restart"/>
            <w:shd w:val="clear" w:color="auto" w:fill="1F497D" w:themeFill="text2"/>
          </w:tcPr>
          <w:p w:rsidR="00C42755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1F497D" w:themeFill="text2"/>
          </w:tcPr>
          <w:p w:rsidR="00C42755" w:rsidRPr="00ED3210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Implementation 2025/2026</w:t>
            </w:r>
          </w:p>
        </w:tc>
        <w:tc>
          <w:tcPr>
            <w:tcW w:w="1528" w:type="dxa"/>
            <w:shd w:val="clear" w:color="auto" w:fill="1F497D" w:themeFill="text2"/>
          </w:tcPr>
          <w:p w:rsidR="00C42755" w:rsidRPr="00790DC3" w:rsidRDefault="00C42755" w:rsidP="00647AE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Timescale</w:t>
            </w:r>
          </w:p>
        </w:tc>
        <w:tc>
          <w:tcPr>
            <w:tcW w:w="1379" w:type="dxa"/>
            <w:shd w:val="clear" w:color="auto" w:fill="1F497D" w:themeFill="text2"/>
          </w:tcPr>
          <w:p w:rsidR="00C42755" w:rsidRPr="00ED3210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  <w:tc>
          <w:tcPr>
            <w:tcW w:w="1955" w:type="dxa"/>
            <w:shd w:val="clear" w:color="auto" w:fill="1F497D" w:themeFill="text2"/>
          </w:tcPr>
          <w:p w:rsidR="00C42755" w:rsidRPr="00ED3210" w:rsidRDefault="00C42755" w:rsidP="00647AE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D321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KPIs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for 2025/2026</w:t>
            </w:r>
          </w:p>
        </w:tc>
      </w:tr>
      <w:tr w:rsidR="00AE00E8" w:rsidRPr="00EB3FC4" w:rsidTr="00B85983">
        <w:tc>
          <w:tcPr>
            <w:tcW w:w="1359" w:type="dxa"/>
            <w:vMerge w:val="restart"/>
            <w:shd w:val="clear" w:color="auto" w:fill="365F91" w:themeFill="accent1" w:themeFillShade="BF"/>
          </w:tcPr>
          <w:p w:rsidR="00C42755" w:rsidRPr="00EB3FC4" w:rsidRDefault="00C42755" w:rsidP="00647AE4">
            <w:pPr>
              <w:rPr>
                <w:sz w:val="20"/>
                <w:szCs w:val="20"/>
              </w:rPr>
            </w:pPr>
            <w:r w:rsidRPr="00EB3FC4">
              <w:rPr>
                <w:b/>
                <w:color w:val="FFFFFF" w:themeColor="background1"/>
                <w:sz w:val="20"/>
                <w:szCs w:val="20"/>
              </w:rPr>
              <w:t>Demonstrate Safety Leadership</w:t>
            </w:r>
          </w:p>
        </w:tc>
        <w:tc>
          <w:tcPr>
            <w:tcW w:w="1789" w:type="dxa"/>
            <w:shd w:val="clear" w:color="auto" w:fill="DBE5F1" w:themeFill="accent1" w:themeFillTint="33"/>
          </w:tcPr>
          <w:p w:rsidR="00C42755" w:rsidRPr="00EF41A6" w:rsidRDefault="00C42755" w:rsidP="00647AE4">
            <w:pPr>
              <w:rPr>
                <w:sz w:val="20"/>
                <w:szCs w:val="20"/>
              </w:rPr>
            </w:pPr>
            <w:r w:rsidRPr="00EF41A6">
              <w:rPr>
                <w:sz w:val="20"/>
                <w:szCs w:val="20"/>
              </w:rPr>
              <w:t>We will:</w:t>
            </w:r>
          </w:p>
          <w:p w:rsidR="00C42755" w:rsidRPr="00D36799" w:rsidRDefault="00C42755" w:rsidP="00594CDC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  <w:tab w:val="num" w:pos="214"/>
              </w:tabs>
              <w:ind w:left="123" w:hanging="123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Agree upon and d</w:t>
            </w: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eliver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 ongoing programme of Health and Safety Training for all levels of management (People Committee, Executives, managers) that is flexible enough to enable provision to new managers</w:t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AE00E8" w:rsidRDefault="00AE00E8" w:rsidP="00647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Senior manager training – Oct 2024</w:t>
            </w:r>
          </w:p>
          <w:p w:rsidR="00AE00E8" w:rsidRDefault="00AE00E8" w:rsidP="00647AE4">
            <w:pPr>
              <w:rPr>
                <w:rFonts w:cstheme="minorHAnsi"/>
                <w:sz w:val="20"/>
                <w:szCs w:val="20"/>
              </w:rPr>
            </w:pPr>
          </w:p>
          <w:p w:rsidR="00AE00E8" w:rsidRDefault="00AE00E8" w:rsidP="00647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Paper to UEG – Oct 2024</w:t>
            </w:r>
          </w:p>
          <w:p w:rsidR="00AE00E8" w:rsidRDefault="00AE00E8" w:rsidP="00647AE4">
            <w:pPr>
              <w:rPr>
                <w:rFonts w:cstheme="minorHAnsi"/>
                <w:sz w:val="20"/>
                <w:szCs w:val="20"/>
              </w:rPr>
            </w:pPr>
          </w:p>
          <w:p w:rsidR="00AE00E8" w:rsidRPr="00EF41A6" w:rsidRDefault="00AE00E8" w:rsidP="00647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Implementation – Jan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Director of People </w:t>
            </w: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Pr="00EF41A6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DBE5F1" w:themeFill="accent1" w:themeFillTint="33"/>
          </w:tcPr>
          <w:p w:rsidR="00C42755" w:rsidRPr="00EF41A6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  <w:p w:rsidR="00C42755" w:rsidRPr="00EF41A6" w:rsidRDefault="00C42755" w:rsidP="00E75811">
            <w:pPr>
              <w:pStyle w:val="ListParagraph"/>
              <w:numPr>
                <w:ilvl w:val="0"/>
                <w:numId w:val="26"/>
              </w:numPr>
              <w:ind w:left="213" w:hanging="213"/>
              <w:rPr>
                <w:rFonts w:asciiTheme="minorHAnsi" w:hAnsiTheme="minorHAnsi" w:cstheme="minorHAnsi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sz w:val="20"/>
                <w:szCs w:val="20"/>
              </w:rPr>
              <w:t>90% of People Committee members completed Senior Leadership Training</w:t>
            </w:r>
          </w:p>
          <w:p w:rsidR="00C42755" w:rsidRPr="00EF41A6" w:rsidRDefault="00C42755" w:rsidP="00E75811">
            <w:pPr>
              <w:pStyle w:val="ListParagraph"/>
              <w:numPr>
                <w:ilvl w:val="0"/>
                <w:numId w:val="26"/>
              </w:numPr>
              <w:ind w:left="213" w:hanging="213"/>
              <w:rPr>
                <w:rFonts w:asciiTheme="minorHAnsi" w:hAnsiTheme="minorHAnsi" w:cstheme="minorHAnsi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sz w:val="20"/>
                <w:szCs w:val="20"/>
              </w:rPr>
              <w:t xml:space="preserve">90% of University Executive </w:t>
            </w:r>
            <w:r w:rsidR="00A23E8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EF41A6">
              <w:rPr>
                <w:rFonts w:asciiTheme="minorHAnsi" w:hAnsiTheme="minorHAnsi" w:cstheme="minorHAnsi"/>
                <w:sz w:val="20"/>
                <w:szCs w:val="20"/>
              </w:rPr>
              <w:t>roup completed Senior Leadership Training</w:t>
            </w:r>
          </w:p>
          <w:p w:rsidR="00C42755" w:rsidRPr="00F37147" w:rsidRDefault="00C42755" w:rsidP="00E75811">
            <w:pPr>
              <w:pStyle w:val="ListParagraph"/>
              <w:numPr>
                <w:ilvl w:val="0"/>
                <w:numId w:val="26"/>
              </w:numPr>
              <w:ind w:left="213" w:hanging="213"/>
              <w:rPr>
                <w:rFonts w:cstheme="minorHAnsi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sz w:val="20"/>
                <w:szCs w:val="20"/>
              </w:rPr>
              <w:t>90% of managers completed senior manager training on health and safety*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:rsidR="00C42755" w:rsidRPr="00D36799" w:rsidRDefault="00C42755" w:rsidP="00D367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1F497D" w:themeFill="text2"/>
          </w:tcPr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shd w:val="clear" w:color="auto" w:fill="DBE5F1" w:themeFill="accent1" w:themeFillTint="33"/>
          </w:tcPr>
          <w:p w:rsidR="00C42755" w:rsidRDefault="00C42755" w:rsidP="00647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will:</w:t>
            </w:r>
          </w:p>
          <w:p w:rsidR="00C42755" w:rsidRPr="00EF41A6" w:rsidRDefault="00C42755" w:rsidP="00594CDC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69"/>
              </w:tabs>
              <w:ind w:left="169" w:hanging="169"/>
              <w:rPr>
                <w:rFonts w:cstheme="minorHAnsi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Provide improved University oversight of documentation and management of H&amp;S through provision of IT systems</w:t>
            </w:r>
          </w:p>
        </w:tc>
        <w:tc>
          <w:tcPr>
            <w:tcW w:w="1528" w:type="dxa"/>
            <w:vMerge w:val="restart"/>
            <w:shd w:val="clear" w:color="auto" w:fill="DBE5F1" w:themeFill="accent1" w:themeFillTint="33"/>
          </w:tcPr>
          <w:p w:rsidR="00C42755" w:rsidRDefault="00C42755" w:rsidP="000A259F">
            <w:pPr>
              <w:rPr>
                <w:rFonts w:cstheme="minorHAnsi"/>
                <w:sz w:val="20"/>
                <w:szCs w:val="20"/>
              </w:rPr>
            </w:pPr>
          </w:p>
          <w:p w:rsidR="00C42755" w:rsidRPr="000A259F" w:rsidRDefault="00AE00E8" w:rsidP="00D061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 – subject to approval</w:t>
            </w:r>
          </w:p>
        </w:tc>
        <w:tc>
          <w:tcPr>
            <w:tcW w:w="1379" w:type="dxa"/>
            <w:vMerge w:val="restart"/>
            <w:shd w:val="clear" w:color="auto" w:fill="DBE5F1" w:themeFill="accent1" w:themeFillTint="33"/>
          </w:tcPr>
          <w:p w:rsidR="00C42755" w:rsidRDefault="00C42755" w:rsidP="00D0617A">
            <w:pPr>
              <w:rPr>
                <w:rFonts w:cstheme="minorHAnsi"/>
                <w:sz w:val="20"/>
                <w:szCs w:val="20"/>
              </w:rPr>
            </w:pPr>
          </w:p>
          <w:p w:rsidR="00C42755" w:rsidRPr="00D0617A" w:rsidRDefault="00C42755" w:rsidP="00D061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 People</w:t>
            </w:r>
          </w:p>
        </w:tc>
        <w:tc>
          <w:tcPr>
            <w:tcW w:w="1955" w:type="dxa"/>
            <w:vMerge w:val="restart"/>
            <w:shd w:val="clear" w:color="auto" w:fill="DBE5F1" w:themeFill="accent1" w:themeFillTint="33"/>
          </w:tcPr>
          <w:p w:rsidR="00C42755" w:rsidRDefault="00C42755" w:rsidP="00D0617A">
            <w:pPr>
              <w:rPr>
                <w:rFonts w:cstheme="minorHAnsi"/>
                <w:sz w:val="20"/>
                <w:szCs w:val="20"/>
              </w:rPr>
            </w:pPr>
          </w:p>
          <w:p w:rsidR="00C42755" w:rsidRPr="00D0617A" w:rsidRDefault="00C42755" w:rsidP="00D061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Any relevant KPIs will be reliant on the approval of IT systems and will therefore be agreed as part of any approval process for this.  </w:t>
            </w:r>
          </w:p>
        </w:tc>
      </w:tr>
      <w:tr w:rsidR="00AE00E8" w:rsidRPr="002A5C40" w:rsidTr="00B85983">
        <w:trPr>
          <w:trHeight w:val="557"/>
        </w:trPr>
        <w:tc>
          <w:tcPr>
            <w:tcW w:w="1359" w:type="dxa"/>
            <w:vMerge/>
            <w:shd w:val="clear" w:color="auto" w:fill="76923C" w:themeFill="accent3" w:themeFillShade="BF"/>
          </w:tcPr>
          <w:p w:rsidR="00C42755" w:rsidRPr="004632B0" w:rsidRDefault="00C42755" w:rsidP="00647AE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C42755" w:rsidRPr="00EF41A6" w:rsidRDefault="00C42755" w:rsidP="00D36799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  <w:tab w:val="num" w:pos="123"/>
              </w:tabs>
              <w:spacing w:before="240"/>
              <w:ind w:left="123" w:hanging="123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EF41A6">
              <w:rPr>
                <w:rFonts w:asciiTheme="minorHAnsi" w:hAnsiTheme="minorHAnsi" w:cstheme="minorHAnsi"/>
                <w:sz w:val="20"/>
                <w:szCs w:val="20"/>
              </w:rPr>
              <w:t>Revise and update our Health, Safety and Wellbeing Policy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C42755" w:rsidRPr="00EF41A6" w:rsidRDefault="00C42755" w:rsidP="00647AE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C42755" w:rsidRDefault="00C42755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D36799" w:rsidRDefault="00B85983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Nov 2024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C42755" w:rsidRDefault="00C42755" w:rsidP="00D36799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C42755" w:rsidP="00D367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 People</w:t>
            </w:r>
          </w:p>
          <w:p w:rsidR="00C42755" w:rsidRDefault="00C42755" w:rsidP="000A25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DBE5F1" w:themeFill="accent1" w:themeFillTint="33"/>
          </w:tcPr>
          <w:p w:rsidR="00C42755" w:rsidRDefault="00C42755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42755" w:rsidRPr="00D36799" w:rsidRDefault="00C42755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C42755" w:rsidRPr="00EE55CE" w:rsidRDefault="00C42755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DBE5F1" w:themeFill="accent1" w:themeFillTint="33"/>
          </w:tcPr>
          <w:p w:rsidR="00C42755" w:rsidRPr="00EE55CE" w:rsidRDefault="00C42755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BE5F1" w:themeFill="accent1" w:themeFillTint="33"/>
          </w:tcPr>
          <w:p w:rsidR="00C42755" w:rsidRDefault="00C42755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BE5F1" w:themeFill="accent1" w:themeFillTint="33"/>
          </w:tcPr>
          <w:p w:rsidR="00C42755" w:rsidRDefault="00C42755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</w:tcPr>
          <w:p w:rsidR="00C42755" w:rsidRDefault="00C42755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E00E8" w:rsidRPr="002A5C40" w:rsidTr="00B85983">
        <w:trPr>
          <w:trHeight w:val="557"/>
        </w:trPr>
        <w:tc>
          <w:tcPr>
            <w:tcW w:w="1359" w:type="dxa"/>
            <w:vMerge/>
            <w:shd w:val="clear" w:color="auto" w:fill="76923C" w:themeFill="accent3" w:themeFillShade="BF"/>
          </w:tcPr>
          <w:p w:rsidR="00C42755" w:rsidRPr="004632B0" w:rsidRDefault="00C42755" w:rsidP="00647AE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C42755" w:rsidRPr="00EF41A6" w:rsidRDefault="00C42755" w:rsidP="003C5E54">
            <w:pPr>
              <w:pStyle w:val="ListParagraph"/>
              <w:numPr>
                <w:ilvl w:val="0"/>
                <w:numId w:val="6"/>
              </w:numPr>
              <w:tabs>
                <w:tab w:val="clear" w:pos="360"/>
                <w:tab w:val="num" w:pos="123"/>
              </w:tabs>
              <w:spacing w:before="240"/>
              <w:ind w:left="123" w:hanging="123"/>
              <w:rPr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Build health and safety into the strategic decision-making process by including within </w:t>
            </w: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lastRenderedPageBreak/>
              <w:t>existing Committee paperwork and terms of reference</w:t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C42755" w:rsidRDefault="00C42755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D36799" w:rsidRDefault="00B85983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C42755" w:rsidRDefault="00C42755" w:rsidP="000A259F">
            <w:pPr>
              <w:rPr>
                <w:rFonts w:cstheme="minorHAnsi"/>
                <w:sz w:val="20"/>
                <w:szCs w:val="20"/>
              </w:rPr>
            </w:pPr>
          </w:p>
          <w:p w:rsidR="00C42755" w:rsidRDefault="00B85983" w:rsidP="000A25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Vice-Principal People and Student Wellbeing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C42755" w:rsidRDefault="00C42755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42755" w:rsidRPr="00C42755" w:rsidRDefault="00C42755" w:rsidP="00E75811">
            <w:pPr>
              <w:pStyle w:val="ListParagraph"/>
              <w:numPr>
                <w:ilvl w:val="0"/>
                <w:numId w:val="34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2755">
              <w:rPr>
                <w:rFonts w:asciiTheme="minorHAnsi" w:hAnsiTheme="minorHAnsi" w:cstheme="minorHAnsi"/>
                <w:sz w:val="20"/>
                <w:szCs w:val="20"/>
              </w:rPr>
              <w:t>% School H&amp;S Committees chaired by Dean or Vice-Dean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C42755" w:rsidRPr="00EE55CE" w:rsidRDefault="00C42755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DBE5F1" w:themeFill="accent1" w:themeFillTint="33"/>
          </w:tcPr>
          <w:p w:rsidR="00C42755" w:rsidRPr="00EE55CE" w:rsidRDefault="00C42755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DBE5F1" w:themeFill="accent1" w:themeFillTint="33"/>
          </w:tcPr>
          <w:p w:rsidR="00C42755" w:rsidRDefault="00C42755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BE5F1" w:themeFill="accent1" w:themeFillTint="33"/>
          </w:tcPr>
          <w:p w:rsidR="00C42755" w:rsidRDefault="00C42755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</w:tcPr>
          <w:p w:rsidR="00C42755" w:rsidRDefault="00C42755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E00E8" w:rsidRPr="002A5C40" w:rsidTr="00B85983">
        <w:trPr>
          <w:trHeight w:val="557"/>
        </w:trPr>
        <w:tc>
          <w:tcPr>
            <w:tcW w:w="1359" w:type="dxa"/>
            <w:vMerge w:val="restart"/>
            <w:shd w:val="clear" w:color="auto" w:fill="76923C" w:themeFill="accent3" w:themeFillShade="BF"/>
          </w:tcPr>
          <w:p w:rsidR="003C5E54" w:rsidRPr="00EB3FC4" w:rsidRDefault="003C5E54" w:rsidP="00647AE4">
            <w:pPr>
              <w:rPr>
                <w:b/>
                <w:sz w:val="20"/>
                <w:szCs w:val="20"/>
              </w:rPr>
            </w:pPr>
            <w:r w:rsidRPr="004632B0">
              <w:rPr>
                <w:b/>
                <w:color w:val="FFFFFF" w:themeColor="background1"/>
                <w:sz w:val="20"/>
                <w:szCs w:val="20"/>
              </w:rPr>
              <w:t>Risk Management and robust systems</w:t>
            </w:r>
          </w:p>
        </w:tc>
        <w:tc>
          <w:tcPr>
            <w:tcW w:w="1789" w:type="dxa"/>
            <w:shd w:val="clear" w:color="auto" w:fill="DBE5F1" w:themeFill="accent1" w:themeFillTint="33"/>
          </w:tcPr>
          <w:p w:rsidR="00C42755" w:rsidRPr="00594CDC" w:rsidRDefault="00C42755" w:rsidP="00C42755">
            <w:pPr>
              <w:rPr>
                <w:sz w:val="20"/>
                <w:szCs w:val="20"/>
              </w:rPr>
            </w:pPr>
            <w:r w:rsidRPr="00594CDC">
              <w:rPr>
                <w:sz w:val="20"/>
                <w:szCs w:val="20"/>
              </w:rPr>
              <w:t>We will:</w:t>
            </w:r>
          </w:p>
          <w:p w:rsidR="003C5E54" w:rsidRPr="00C42755" w:rsidRDefault="003C5E54" w:rsidP="00C42755">
            <w:pPr>
              <w:pStyle w:val="ListParagraph"/>
              <w:numPr>
                <w:ilvl w:val="0"/>
                <w:numId w:val="34"/>
              </w:numPr>
              <w:ind w:left="229" w:hanging="22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and implement a robust audit</w:t>
            </w:r>
            <w:r w:rsidRPr="00C42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schedule of the H&amp;S Management System to evaluate performance</w:t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Default="003C5E54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Paper to UEG – Oct 2024</w:t>
            </w:r>
          </w:p>
          <w:p w:rsidR="00B85983" w:rsidRDefault="00B85983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D36799" w:rsidRDefault="00B85983" w:rsidP="00D36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Implementation start – Jan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0A259F">
            <w:pPr>
              <w:rPr>
                <w:rFonts w:cstheme="minorHAnsi"/>
                <w:sz w:val="20"/>
                <w:szCs w:val="20"/>
              </w:rPr>
            </w:pPr>
          </w:p>
          <w:p w:rsidR="003C5E54" w:rsidRDefault="003C5E54" w:rsidP="000A25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Safety Advisor</w:t>
            </w:r>
          </w:p>
          <w:p w:rsidR="003C5E54" w:rsidRPr="000A259F" w:rsidRDefault="003C5E54" w:rsidP="000A25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DBE5F1" w:themeFill="accent1" w:themeFillTint="33"/>
          </w:tcPr>
          <w:p w:rsidR="00C42755" w:rsidRPr="00C42755" w:rsidRDefault="00C42755" w:rsidP="00C4275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Pr="00EF41A6" w:rsidRDefault="003C5E54" w:rsidP="00E75811">
            <w:pPr>
              <w:pStyle w:val="ListParagraph"/>
              <w:numPr>
                <w:ilvl w:val="0"/>
                <w:numId w:val="11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100% of safety audits completed v planned*</w:t>
            </w:r>
          </w:p>
          <w:p w:rsidR="003C5E54" w:rsidRPr="00594CDC" w:rsidRDefault="003C5E54" w:rsidP="00E75811">
            <w:pPr>
              <w:pStyle w:val="ListParagraph"/>
              <w:numPr>
                <w:ilvl w:val="0"/>
                <w:numId w:val="11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100% safety audit recommendations completed within timescale*</w:t>
            </w:r>
          </w:p>
          <w:p w:rsidR="003C5E54" w:rsidRPr="00D0617A" w:rsidRDefault="003C5E54" w:rsidP="00D0617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Pr="00EE55CE" w:rsidRDefault="003C5E54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shd w:val="clear" w:color="auto" w:fill="1F497D" w:themeFill="text2"/>
          </w:tcPr>
          <w:p w:rsidR="003C5E54" w:rsidRPr="00EE55CE" w:rsidRDefault="003C5E54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3C5E54" w:rsidRPr="00EE55CE" w:rsidRDefault="003C5E54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55CE">
              <w:rPr>
                <w:rFonts w:cstheme="minorHAnsi"/>
                <w:color w:val="000000" w:themeColor="text1"/>
                <w:sz w:val="20"/>
                <w:szCs w:val="20"/>
              </w:rPr>
              <w:t xml:space="preserve">We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w</w:t>
            </w:r>
            <w:r w:rsidRPr="00EE55CE">
              <w:rPr>
                <w:rFonts w:cstheme="minorHAnsi"/>
                <w:color w:val="000000" w:themeColor="text1"/>
                <w:sz w:val="20"/>
                <w:szCs w:val="20"/>
              </w:rPr>
              <w:t>ill:</w:t>
            </w:r>
          </w:p>
          <w:p w:rsidR="003C5E54" w:rsidRPr="00594CDC" w:rsidRDefault="003C5E54" w:rsidP="00594CDC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69"/>
              </w:tabs>
              <w:ind w:left="169" w:hanging="16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and implement an audit schedule to evaluate performance around specific hazards/risks</w:t>
            </w: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:rsidR="003C5E54" w:rsidRPr="00D33A85" w:rsidRDefault="003C5E54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Pr="00D33A85" w:rsidRDefault="003C5E54" w:rsidP="00647AE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Implementation start – Jan 2026</w:t>
            </w: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3C5E54" w:rsidRPr="001B2E01" w:rsidRDefault="003C5E54" w:rsidP="001B2E0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4CDC" w:rsidRPr="00E857B0" w:rsidRDefault="00594CDC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 and Safety Advisor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:rsidR="003C5E54" w:rsidRDefault="003C5E54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4CDC" w:rsidRPr="00EF41A6" w:rsidRDefault="00594CDC" w:rsidP="00E75811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26"/>
              </w:tabs>
              <w:ind w:left="126" w:hanging="1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100% of safety audits completed v planned*</w:t>
            </w:r>
          </w:p>
          <w:p w:rsidR="00594CDC" w:rsidRPr="00594CDC" w:rsidRDefault="00594CDC" w:rsidP="00E75811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26"/>
              </w:tabs>
              <w:ind w:left="126" w:hanging="1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100% safety audit recommendations completed within timescale*</w:t>
            </w:r>
          </w:p>
          <w:p w:rsidR="003C5E54" w:rsidRPr="00E857B0" w:rsidRDefault="003C5E54" w:rsidP="00E857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85983" w:rsidRPr="002A5C40" w:rsidTr="00B85983">
        <w:trPr>
          <w:trHeight w:val="557"/>
        </w:trPr>
        <w:tc>
          <w:tcPr>
            <w:tcW w:w="1359" w:type="dxa"/>
            <w:vMerge/>
            <w:shd w:val="clear" w:color="auto" w:fill="76923C" w:themeFill="accent3" w:themeFillShade="BF"/>
          </w:tcPr>
          <w:p w:rsidR="00C65F1C" w:rsidRPr="004632B0" w:rsidRDefault="00C65F1C" w:rsidP="003C5E5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C65F1C" w:rsidRPr="00C30A0C" w:rsidRDefault="00C65F1C" w:rsidP="00594CDC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ind w:left="214" w:hanging="214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Continue to e</w:t>
            </w: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valuate and measure our H&amp;S performance through an agreed set of quantitative KPIs</w:t>
            </w:r>
          </w:p>
          <w:p w:rsidR="00C65F1C" w:rsidRPr="00C30A0C" w:rsidRDefault="00C65F1C" w:rsidP="003C5E5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C65F1C" w:rsidRPr="00D36799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Ongoing and Dec 2024 review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 People</w:t>
            </w: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  <w:p w:rsidR="00C65F1C" w:rsidRDefault="00C65F1C" w:rsidP="003C5E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DBE5F1" w:themeFill="accent1" w:themeFillTint="33"/>
          </w:tcPr>
          <w:p w:rsidR="00C65F1C" w:rsidRPr="00594CDC" w:rsidRDefault="00C65F1C" w:rsidP="00594C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C65F1C" w:rsidRPr="00EE55CE" w:rsidRDefault="00C65F1C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22" w:type="dxa"/>
            <w:gridSpan w:val="4"/>
            <w:shd w:val="clear" w:color="auto" w:fill="D9D9D9" w:themeFill="background1" w:themeFillShade="D9"/>
          </w:tcPr>
          <w:p w:rsidR="00C65F1C" w:rsidRDefault="00C65F1C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E00E8" w:rsidRPr="002A5C40" w:rsidTr="00B85983">
        <w:trPr>
          <w:trHeight w:val="557"/>
        </w:trPr>
        <w:tc>
          <w:tcPr>
            <w:tcW w:w="1359" w:type="dxa"/>
            <w:vMerge/>
            <w:shd w:val="clear" w:color="auto" w:fill="76923C" w:themeFill="accent3" w:themeFillShade="BF"/>
          </w:tcPr>
          <w:p w:rsidR="003C5E54" w:rsidRPr="004632B0" w:rsidRDefault="003C5E54" w:rsidP="003C5E5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3C5E54" w:rsidRPr="00EE55CE" w:rsidRDefault="003C5E54" w:rsidP="00594CDC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55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Develop a proposal for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set of </w:t>
            </w:r>
            <w:r w:rsidRPr="00EE55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qualitative KPI’s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delivery during 2025/2026</w:t>
            </w:r>
          </w:p>
          <w:p w:rsidR="003C5E54" w:rsidRPr="00594CDC" w:rsidRDefault="003C5E54" w:rsidP="00594C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Pr="00D36799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May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3C5E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Safety Advisor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3C5E54" w:rsidRPr="00594CDC" w:rsidRDefault="00594CDC" w:rsidP="00594C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3C5E54" w:rsidRPr="00EE55CE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3C5E54" w:rsidRDefault="003C5E54" w:rsidP="00594CDC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69"/>
              </w:tabs>
              <w:ind w:left="169" w:hanging="16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Commence evaluation and measurement of our H&amp;S performance through an agreed set of qualitative KPIs</w:t>
            </w:r>
          </w:p>
          <w:p w:rsidR="003C5E54" w:rsidRPr="00EE55CE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October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Director of People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:rsidR="003C5E54" w:rsidRDefault="00594CDC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E00E8" w:rsidRPr="002A5C40" w:rsidTr="00B85983">
        <w:trPr>
          <w:trHeight w:val="557"/>
        </w:trPr>
        <w:tc>
          <w:tcPr>
            <w:tcW w:w="1359" w:type="dxa"/>
            <w:vMerge/>
            <w:shd w:val="clear" w:color="auto" w:fill="76923C" w:themeFill="accent3" w:themeFillShade="BF"/>
          </w:tcPr>
          <w:p w:rsidR="003C5E54" w:rsidRPr="004632B0" w:rsidRDefault="003C5E54" w:rsidP="003C5E5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3C5E54" w:rsidRPr="00F37147" w:rsidRDefault="003C5E54" w:rsidP="00594CDC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Work with the Schools and higher risk areas to develop KPIs </w:t>
            </w:r>
          </w:p>
          <w:p w:rsidR="003C5E54" w:rsidRPr="00EF41A6" w:rsidRDefault="003C5E54" w:rsidP="003C5E5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Pr="00D36799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March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3C5E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Safety Advisor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3C5E54" w:rsidRPr="003C5E54" w:rsidRDefault="00594CDC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3C5E54" w:rsidRPr="00EE55CE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3C5E54" w:rsidRDefault="003C5E54" w:rsidP="00594CDC">
            <w:pPr>
              <w:pStyle w:val="ListParagraph"/>
              <w:numPr>
                <w:ilvl w:val="0"/>
                <w:numId w:val="11"/>
              </w:numPr>
              <w:ind w:left="169" w:hanging="16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Report on School and higher risk area KPIs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:rsidR="003C5E54" w:rsidRPr="00F37147" w:rsidRDefault="003C5E54" w:rsidP="00594CDC">
            <w:pPr>
              <w:pStyle w:val="ListParagraph"/>
              <w:numPr>
                <w:ilvl w:val="0"/>
                <w:numId w:val="11"/>
              </w:numPr>
              <w:ind w:left="169" w:hanging="16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Have a risk assessment log in place for Schools and Departments</w:t>
            </w:r>
          </w:p>
          <w:p w:rsidR="003C5E54" w:rsidRPr="003C5E54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C5E54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Sept 2025</w:t>
            </w:r>
          </w:p>
          <w:p w:rsidR="00B85983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Sept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School Deans and relevant Directors of Professional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Support Departments</w:t>
            </w:r>
          </w:p>
          <w:p w:rsidR="003C5E54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:rsidR="003C5E54" w:rsidRDefault="00594CDC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n/a</w:t>
            </w:r>
          </w:p>
        </w:tc>
      </w:tr>
      <w:tr w:rsidR="00AE00E8" w:rsidRPr="002A5C40" w:rsidTr="00B85983">
        <w:trPr>
          <w:trHeight w:val="557"/>
        </w:trPr>
        <w:tc>
          <w:tcPr>
            <w:tcW w:w="1359" w:type="dxa"/>
            <w:vMerge/>
            <w:shd w:val="clear" w:color="auto" w:fill="76923C" w:themeFill="accent3" w:themeFillShade="BF"/>
          </w:tcPr>
          <w:p w:rsidR="003C5E54" w:rsidRPr="004632B0" w:rsidRDefault="003C5E54" w:rsidP="003C5E5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3C5E54" w:rsidRDefault="003C5E54" w:rsidP="00594CDC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</w:tabs>
              <w:ind w:left="214" w:hanging="21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714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Ensure procedures and/or guidance is available for all our hazards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(spans delivery over Year 1 and 2 of the Plan)</w:t>
            </w:r>
          </w:p>
          <w:p w:rsidR="003C5E54" w:rsidRPr="00EF41A6" w:rsidRDefault="003C5E54" w:rsidP="003C5E5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Pr="00D36799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Continuous and ongoing over the period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3C5E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safety Advisor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3C5E54" w:rsidRPr="00EF41A6" w:rsidRDefault="003C5E54" w:rsidP="00E75811">
            <w:pPr>
              <w:pStyle w:val="ListParagraph"/>
              <w:numPr>
                <w:ilvl w:val="0"/>
                <w:numId w:val="11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90% of Health and Safety procedures are reviewed and updated within the due date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3C5E54" w:rsidRPr="00EE55CE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3C5E54" w:rsidRPr="00594CDC" w:rsidRDefault="003C5E54" w:rsidP="00594CDC">
            <w:pPr>
              <w:pStyle w:val="ListParagraph"/>
              <w:numPr>
                <w:ilvl w:val="0"/>
                <w:numId w:val="34"/>
              </w:numPr>
              <w:ind w:left="169" w:hanging="16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Ensure procedures and/or guidance is available for all our hazards (spans delivery over Year 1 and 2 of the Plan)</w:t>
            </w: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3C5E54" w:rsidRDefault="00B85983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Continuous and ongoing over the period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3C5E54" w:rsidRDefault="003C5E54" w:rsidP="003C5E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 and Safety Advisor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:rsidR="003C5E54" w:rsidRPr="00E75811" w:rsidRDefault="003C5E54" w:rsidP="00E75811">
            <w:pPr>
              <w:pStyle w:val="ListParagraph"/>
              <w:numPr>
                <w:ilvl w:val="0"/>
                <w:numId w:val="34"/>
              </w:numPr>
              <w:ind w:left="126" w:hanging="14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90% of Health and Safety procedures are reviewed and updated within the due date</w:t>
            </w:r>
          </w:p>
        </w:tc>
      </w:tr>
      <w:tr w:rsidR="00B85983" w:rsidRPr="002A5C40" w:rsidTr="00B85983">
        <w:trPr>
          <w:trHeight w:val="557"/>
        </w:trPr>
        <w:tc>
          <w:tcPr>
            <w:tcW w:w="1359" w:type="dxa"/>
            <w:vMerge/>
            <w:shd w:val="clear" w:color="auto" w:fill="76923C" w:themeFill="accent3" w:themeFillShade="BF"/>
          </w:tcPr>
          <w:p w:rsidR="00B85983" w:rsidRPr="004632B0" w:rsidRDefault="00B85983" w:rsidP="00B8598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B85983" w:rsidRPr="00594CDC" w:rsidRDefault="00B85983" w:rsidP="00B85983">
            <w:pPr>
              <w:pStyle w:val="ListParagraph"/>
              <w:numPr>
                <w:ilvl w:val="0"/>
                <w:numId w:val="34"/>
              </w:numPr>
              <w:ind w:left="214" w:hanging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Continue the review of the workstation training and assessment process to support staff, particularly those with health conditions</w:t>
            </w: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Pr="00D36799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Continuous and ongoing over the period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Safety Advisor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B85983" w:rsidRPr="00EF41A6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90% of staff reporting discomfort received a workstation assessment date within one week of initial request to Health and Safety</w:t>
            </w:r>
          </w:p>
          <w:p w:rsidR="00B85983" w:rsidRPr="00EF41A6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80% of new staff completed their workstation training and assessment within one week of receiving an invitation to complete</w:t>
            </w:r>
          </w:p>
          <w:p w:rsidR="00B85983" w:rsidRPr="00E75811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1F497D" w:themeFill="text2"/>
          </w:tcPr>
          <w:p w:rsidR="00B85983" w:rsidRPr="00EE55CE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B85983" w:rsidRPr="00E75811" w:rsidRDefault="00B85983" w:rsidP="00B85983">
            <w:pPr>
              <w:pStyle w:val="ListParagraph"/>
              <w:numPr>
                <w:ilvl w:val="0"/>
                <w:numId w:val="34"/>
              </w:numPr>
              <w:ind w:left="184" w:hanging="18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Continue the review of the workstation training and assessment process to support staff, particularly those with health conditions</w:t>
            </w: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June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 and Safety Advisor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:rsidR="00B85983" w:rsidRPr="00E75811" w:rsidRDefault="00B85983" w:rsidP="00B85983">
            <w:pPr>
              <w:pStyle w:val="ListParagraph"/>
              <w:numPr>
                <w:ilvl w:val="0"/>
                <w:numId w:val="34"/>
              </w:numPr>
              <w:ind w:left="126" w:hanging="1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80% of staff have completed a DSE Assessment within a 3-year period*</w:t>
            </w:r>
          </w:p>
        </w:tc>
      </w:tr>
      <w:tr w:rsidR="00B85983" w:rsidRPr="002A5C40" w:rsidTr="00B85983">
        <w:tc>
          <w:tcPr>
            <w:tcW w:w="1359" w:type="dxa"/>
            <w:vMerge w:val="restart"/>
            <w:shd w:val="clear" w:color="auto" w:fill="FFC000"/>
          </w:tcPr>
          <w:p w:rsidR="00B85983" w:rsidRPr="00EB3FC4" w:rsidRDefault="00B85983" w:rsidP="00B8598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Learning and Development</w:t>
            </w:r>
          </w:p>
        </w:tc>
        <w:tc>
          <w:tcPr>
            <w:tcW w:w="1789" w:type="dxa"/>
            <w:shd w:val="clear" w:color="auto" w:fill="DBE5F1" w:themeFill="accent1" w:themeFillTint="33"/>
          </w:tcPr>
          <w:p w:rsidR="00B85983" w:rsidRPr="00EF41A6" w:rsidRDefault="00B85983" w:rsidP="00B85983">
            <w:pPr>
              <w:rPr>
                <w:sz w:val="20"/>
                <w:szCs w:val="20"/>
              </w:rPr>
            </w:pPr>
            <w:r w:rsidRPr="00EF41A6">
              <w:rPr>
                <w:sz w:val="20"/>
                <w:szCs w:val="20"/>
              </w:rPr>
              <w:t>We will:</w:t>
            </w:r>
          </w:p>
          <w:p w:rsidR="00B85983" w:rsidRPr="00EF41A6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Develop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implement </w:t>
            </w: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health and safety training and competency framework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 all staff receive the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required training</w:t>
            </w: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B85983" w:rsidRPr="003C5E54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Paper to UEG – Oct 2024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 and Safety Advisor</w:t>
            </w: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1B2E01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DBE5F1" w:themeFill="accent1" w:themeFillTint="33"/>
          </w:tcPr>
          <w:p w:rsidR="00B85983" w:rsidRPr="00594CDC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F41A6" w:rsidRDefault="00B85983" w:rsidP="00B85983">
            <w:pPr>
              <w:pStyle w:val="ListParagraph"/>
              <w:numPr>
                <w:ilvl w:val="0"/>
                <w:numId w:val="27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90% of staff with a Health and Safety Co-ordinator Role are up to date with their training</w:t>
            </w:r>
          </w:p>
          <w:p w:rsidR="00B85983" w:rsidRDefault="00B85983" w:rsidP="00B85983">
            <w:pPr>
              <w:pStyle w:val="ListParagraph"/>
              <w:numPr>
                <w:ilvl w:val="0"/>
                <w:numId w:val="27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100% of travellers to high and extreme risk destinations have completed the </w:t>
            </w: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University’s online Travel Safety Course</w:t>
            </w:r>
          </w:p>
          <w:p w:rsidR="00B85983" w:rsidRPr="00EF41A6" w:rsidRDefault="00B85983" w:rsidP="00B85983">
            <w:pPr>
              <w:pStyle w:val="ListParagraph"/>
              <w:numPr>
                <w:ilvl w:val="0"/>
                <w:numId w:val="27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Further KPIs will be developed once the framework has been approved</w:t>
            </w:r>
          </w:p>
          <w:p w:rsidR="00B85983" w:rsidRPr="00D33A85" w:rsidRDefault="00B85983" w:rsidP="00B859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1F497D" w:themeFill="text2"/>
          </w:tcPr>
          <w:p w:rsidR="00B85983" w:rsidRPr="00D33A85" w:rsidRDefault="00B85983" w:rsidP="00B859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B85983" w:rsidRPr="00D33A85" w:rsidRDefault="00B85983" w:rsidP="00B85983">
            <w:pPr>
              <w:rPr>
                <w:rFonts w:cstheme="minorHAnsi"/>
                <w:sz w:val="20"/>
                <w:szCs w:val="20"/>
              </w:rPr>
            </w:pPr>
            <w:r w:rsidRPr="00D33A85">
              <w:rPr>
                <w:rFonts w:cstheme="minorHAnsi"/>
                <w:sz w:val="20"/>
                <w:szCs w:val="20"/>
              </w:rPr>
              <w:t>We will:</w:t>
            </w:r>
          </w:p>
          <w:p w:rsidR="00B85983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</w:tabs>
              <w:ind w:left="169" w:hanging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Improve our measurement capabilities through an IT system to provide assurance on training completion rates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B85983" w:rsidRPr="00C4275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 – subject to approval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Director of People</w:t>
            </w: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Any relevant KPIs are reliant on the approval of IT systems and will therefore be agreed as part of any approval process for this.  </w:t>
            </w: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23E88" w:rsidRPr="002A5C40" w:rsidTr="00A23E88">
        <w:tc>
          <w:tcPr>
            <w:tcW w:w="1359" w:type="dxa"/>
            <w:vMerge/>
            <w:shd w:val="clear" w:color="auto" w:fill="FFC000"/>
          </w:tcPr>
          <w:p w:rsidR="00A23E88" w:rsidRDefault="00A23E88" w:rsidP="00B8598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A23E88" w:rsidRDefault="00A23E88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</w:tabs>
              <w:ind w:left="214" w:hanging="214"/>
              <w:rPr>
                <w:rFonts w:asciiTheme="minorHAnsi" w:hAnsiTheme="minorHAnsi" w:cstheme="minorHAnsi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sz w:val="20"/>
                <w:szCs w:val="20"/>
              </w:rPr>
              <w:t xml:space="preserve">Ensure provision of online mandatory training within one week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 staff </w:t>
            </w:r>
            <w:r w:rsidRPr="00EF41A6">
              <w:rPr>
                <w:rFonts w:asciiTheme="minorHAnsi" w:hAnsiTheme="minorHAnsi" w:cstheme="minorHAnsi"/>
                <w:sz w:val="20"/>
                <w:szCs w:val="20"/>
              </w:rPr>
              <w:t>starting (including H&amp;S induction, fire safety awareness)</w:t>
            </w:r>
          </w:p>
          <w:p w:rsidR="00A23E88" w:rsidRPr="00EF41A6" w:rsidRDefault="00A23E88" w:rsidP="00B85983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A23E88" w:rsidRPr="00E857B0" w:rsidRDefault="00A23E88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Sept 2024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A23E88" w:rsidRDefault="00A23E88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 and Safety Advisor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A23E88" w:rsidRPr="00EF41A6" w:rsidRDefault="00A23E88" w:rsidP="00B85983">
            <w:pPr>
              <w:pStyle w:val="ListParagraph"/>
              <w:numPr>
                <w:ilvl w:val="0"/>
                <w:numId w:val="27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90% of new staff completed the mandatory health and safety induction course</w:t>
            </w:r>
          </w:p>
          <w:p w:rsidR="00A23E88" w:rsidRPr="00EF41A6" w:rsidRDefault="00A23E88" w:rsidP="00B85983">
            <w:pPr>
              <w:pStyle w:val="ListParagraph"/>
              <w:numPr>
                <w:ilvl w:val="0"/>
                <w:numId w:val="27"/>
              </w:numPr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F41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90% staff completed the mandatory fire safety awareness course</w:t>
            </w:r>
          </w:p>
          <w:p w:rsidR="00A23E88" w:rsidRPr="00C42755" w:rsidRDefault="00A23E88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1F497D" w:themeFill="text2"/>
          </w:tcPr>
          <w:p w:rsidR="00A23E88" w:rsidRPr="00D33A85" w:rsidRDefault="00A23E88" w:rsidP="00B859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2" w:type="dxa"/>
            <w:gridSpan w:val="4"/>
            <w:shd w:val="clear" w:color="auto" w:fill="D9D9D9" w:themeFill="background1" w:themeFillShade="D9"/>
          </w:tcPr>
          <w:p w:rsidR="00A23E88" w:rsidRPr="00A23E88" w:rsidRDefault="00A23E88" w:rsidP="00A23E8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23E88" w:rsidRPr="002A5C40" w:rsidTr="00A23E88">
        <w:tc>
          <w:tcPr>
            <w:tcW w:w="1359" w:type="dxa"/>
            <w:vMerge/>
            <w:shd w:val="clear" w:color="auto" w:fill="FFC000"/>
          </w:tcPr>
          <w:p w:rsidR="00A23E88" w:rsidRDefault="00A23E88" w:rsidP="00B8598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A23E88" w:rsidRPr="00EF41A6" w:rsidRDefault="00A23E88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</w:tabs>
              <w:ind w:left="169" w:hanging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Have a system in place to ensure consistent training evaluation</w:t>
            </w:r>
          </w:p>
          <w:p w:rsidR="00A23E88" w:rsidRPr="00A23E88" w:rsidRDefault="00A23E88" w:rsidP="00A23E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A23E88" w:rsidRDefault="00A23E88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June 2025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A23E88" w:rsidRDefault="00A23E88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 and Safety Advisor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A23E88" w:rsidRPr="00E75811" w:rsidRDefault="00A23E88" w:rsidP="00B85983">
            <w:pPr>
              <w:pStyle w:val="ListParagraph"/>
              <w:numPr>
                <w:ilvl w:val="0"/>
                <w:numId w:val="34"/>
              </w:numPr>
              <w:ind w:left="126" w:hanging="1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100% evaluation of health and safety courses delivered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A23E88" w:rsidRPr="00D33A85" w:rsidRDefault="00A23E88" w:rsidP="00B859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22" w:type="dxa"/>
            <w:gridSpan w:val="4"/>
            <w:shd w:val="clear" w:color="auto" w:fill="D9D9D9" w:themeFill="background1" w:themeFillShade="D9"/>
          </w:tcPr>
          <w:p w:rsidR="00A23E88" w:rsidRPr="00A23E88" w:rsidRDefault="00A23E88" w:rsidP="00A23E8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85983" w:rsidRPr="002A5C40" w:rsidTr="00B85983">
        <w:tc>
          <w:tcPr>
            <w:tcW w:w="1359" w:type="dxa"/>
            <w:vMerge w:val="restart"/>
            <w:shd w:val="clear" w:color="auto" w:fill="5F497A" w:themeFill="accent4" w:themeFillShade="BF"/>
          </w:tcPr>
          <w:p w:rsidR="00B85983" w:rsidRPr="00EB3FC4" w:rsidRDefault="00B85983" w:rsidP="00B8598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Campus Safety and Resilience</w:t>
            </w:r>
          </w:p>
        </w:tc>
        <w:tc>
          <w:tcPr>
            <w:tcW w:w="1789" w:type="dxa"/>
            <w:shd w:val="clear" w:color="auto" w:fill="DBE5F1" w:themeFill="accent1" w:themeFillTint="33"/>
          </w:tcPr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cstheme="minorHAnsi"/>
                <w:color w:val="000000" w:themeColor="text1"/>
                <w:sz w:val="20"/>
                <w:szCs w:val="20"/>
              </w:rPr>
              <w:t>We will:</w:t>
            </w:r>
          </w:p>
          <w:p w:rsidR="00B85983" w:rsidRPr="00C42755" w:rsidRDefault="00B85983" w:rsidP="00B85983">
            <w:pPr>
              <w:pStyle w:val="ListParagraph"/>
              <w:numPr>
                <w:ilvl w:val="0"/>
                <w:numId w:val="11"/>
              </w:numPr>
              <w:ind w:left="214" w:hanging="21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2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and implement an online contractor management system</w:t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Director of Estates and Buildings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B85983" w:rsidRPr="00CB372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696595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90% of termed contractors fully integrated with online contractor management system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:rsidR="00B85983" w:rsidRPr="00696595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213" w:hanging="21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100% of termed contractors completed GCU Contractor Induction training  </w:t>
            </w:r>
          </w:p>
        </w:tc>
        <w:tc>
          <w:tcPr>
            <w:tcW w:w="245" w:type="dxa"/>
            <w:vMerge/>
            <w:shd w:val="clear" w:color="auto" w:fill="1F497D" w:themeFill="text2"/>
          </w:tcPr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cstheme="minorHAnsi"/>
                <w:color w:val="000000" w:themeColor="text1"/>
                <w:sz w:val="20"/>
                <w:szCs w:val="20"/>
              </w:rPr>
              <w:t>We will:</w:t>
            </w:r>
          </w:p>
          <w:p w:rsidR="00B85983" w:rsidRPr="00696595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69"/>
              </w:tabs>
              <w:ind w:left="169" w:hanging="16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Review use of online contractor management system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:rsidR="00B85983" w:rsidRPr="00C4275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CB372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CB372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Head of Estates and Facilities Management Safety and Performance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Pr="00E75811" w:rsidRDefault="00B85983" w:rsidP="00B85983">
            <w:pPr>
              <w:pStyle w:val="ListParagraph"/>
              <w:numPr>
                <w:ilvl w:val="0"/>
                <w:numId w:val="34"/>
              </w:numPr>
              <w:ind w:left="126" w:hanging="126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58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90% of termed contractors fully integrated with online contractor management system</w:t>
            </w:r>
          </w:p>
        </w:tc>
      </w:tr>
      <w:tr w:rsidR="00B85983" w:rsidRPr="002A5C40" w:rsidTr="00B85983">
        <w:tc>
          <w:tcPr>
            <w:tcW w:w="1359" w:type="dxa"/>
            <w:vMerge/>
            <w:shd w:val="clear" w:color="auto" w:fill="5F497A" w:themeFill="accent4" w:themeFillShade="BF"/>
          </w:tcPr>
          <w:p w:rsidR="00B85983" w:rsidRDefault="00B85983" w:rsidP="00B8598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B85983" w:rsidRPr="00594CDC" w:rsidRDefault="00B85983" w:rsidP="00B85983">
            <w:pPr>
              <w:pStyle w:val="ListParagraph"/>
              <w:numPr>
                <w:ilvl w:val="0"/>
                <w:numId w:val="34"/>
              </w:numPr>
              <w:ind w:left="214" w:hanging="21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Revise emergency arrangements </w:t>
            </w:r>
            <w:r w:rsidRPr="00594C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taking into consideration requirements from incoming Terrorism (Protection of Premises) Bill</w:t>
            </w: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TBC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Head of Estates and Facilities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Management Safety and Performance</w:t>
            </w: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DBE5F1" w:themeFill="accent1" w:themeFillTint="33"/>
          </w:tcPr>
          <w:p w:rsidR="00B85983" w:rsidRPr="00CB372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n/a</w:t>
            </w:r>
          </w:p>
        </w:tc>
        <w:tc>
          <w:tcPr>
            <w:tcW w:w="245" w:type="dxa"/>
            <w:shd w:val="clear" w:color="auto" w:fill="1F497D" w:themeFill="text2"/>
          </w:tcPr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B85983" w:rsidRPr="00696595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169"/>
              </w:tabs>
              <w:ind w:left="169" w:hanging="16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Revise emergency arrangements taking into consideration </w:t>
            </w:r>
            <w:r w:rsidRPr="006965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requirements from incoming Terrorism (Protection of Premises) Bill </w:t>
            </w:r>
          </w:p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Pr="00CB372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TBC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Head of Estates and Facilities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Management Safety and Performance</w:t>
            </w: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n/a</w:t>
            </w:r>
          </w:p>
        </w:tc>
      </w:tr>
      <w:tr w:rsidR="00B85983" w:rsidRPr="002A5C40" w:rsidTr="00B85983">
        <w:tc>
          <w:tcPr>
            <w:tcW w:w="1359" w:type="dxa"/>
            <w:vMerge/>
            <w:shd w:val="clear" w:color="auto" w:fill="5F497A" w:themeFill="accent4" w:themeFillShade="BF"/>
          </w:tcPr>
          <w:p w:rsidR="00B85983" w:rsidRDefault="00B85983" w:rsidP="00B8598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BE5F1" w:themeFill="accent1" w:themeFillTint="33"/>
          </w:tcPr>
          <w:p w:rsidR="00B85983" w:rsidRPr="00696595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ind w:left="214" w:hanging="21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Implement a long-term asset management approach to legislative compliance within the Estate</w:t>
            </w:r>
          </w:p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Director of Estates and Buildings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:rsidR="00B85983" w:rsidRPr="00CB372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45" w:type="dxa"/>
            <w:shd w:val="clear" w:color="auto" w:fill="1F497D" w:themeFill="text2"/>
          </w:tcPr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BE5F1" w:themeFill="accent1" w:themeFillTint="33"/>
          </w:tcPr>
          <w:p w:rsidR="00B85983" w:rsidRPr="00696595" w:rsidRDefault="00B85983" w:rsidP="00B85983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ind w:left="214" w:hanging="21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965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Implement a long-term asset management approach to legislative compliance within the Estate</w:t>
            </w:r>
          </w:p>
          <w:p w:rsidR="00B85983" w:rsidRPr="00696595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DBE5F1" w:themeFill="accent1" w:themeFillTint="33"/>
          </w:tcPr>
          <w:p w:rsidR="00B85983" w:rsidRPr="00E857B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B85983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Director of Estates and Buildings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:rsidR="00B85983" w:rsidRPr="00CB3720" w:rsidRDefault="00B85983" w:rsidP="00B859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23E88" w:rsidRPr="002A5C40" w:rsidTr="00A23E88">
        <w:tc>
          <w:tcPr>
            <w:tcW w:w="15866" w:type="dxa"/>
            <w:gridSpan w:val="10"/>
            <w:shd w:val="clear" w:color="auto" w:fill="auto"/>
          </w:tcPr>
          <w:p w:rsidR="00A23E88" w:rsidRDefault="00A23E88" w:rsidP="00A23E8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(*) Or can evidence they have completed this through another provider within the previous three years.</w:t>
            </w:r>
          </w:p>
        </w:tc>
      </w:tr>
    </w:tbl>
    <w:p w:rsidR="00E101A7" w:rsidRDefault="00E101A7" w:rsidP="00CE69EA">
      <w:pPr>
        <w:jc w:val="right"/>
        <w:rPr>
          <w:b/>
        </w:rPr>
      </w:pPr>
    </w:p>
    <w:sectPr w:rsidR="00E101A7" w:rsidSect="00CE69EA">
      <w:footerReference w:type="default" r:id="rId13"/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EA" w:rsidRDefault="00CE69EA" w:rsidP="00CE69EA">
      <w:pPr>
        <w:spacing w:after="0" w:line="240" w:lineRule="auto"/>
      </w:pPr>
      <w:r>
        <w:separator/>
      </w:r>
    </w:p>
  </w:endnote>
  <w:endnote w:type="continuationSeparator" w:id="0">
    <w:p w:rsidR="00CE69EA" w:rsidRDefault="00CE69EA" w:rsidP="00CE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9EA" w:rsidRDefault="00CE69EA">
    <w:pPr>
      <w:pStyle w:val="Footer"/>
    </w:pPr>
    <w:r>
      <w:t>Health and Safety Strategic Plan 2030</w:t>
    </w:r>
    <w:r>
      <w:ptab w:relativeTo="margin" w:alignment="center" w:leader="none"/>
    </w:r>
    <w:r>
      <w:t>Revision No. 1</w:t>
    </w:r>
    <w:r w:rsidR="0086149B">
      <w:t>.0</w:t>
    </w:r>
    <w:r>
      <w:ptab w:relativeTo="margin" w:alignment="right" w:leader="none"/>
    </w:r>
    <w:r>
      <w:t>Date of Revision: 01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EA" w:rsidRDefault="00CE69EA" w:rsidP="00CE69EA">
      <w:pPr>
        <w:spacing w:after="0" w:line="240" w:lineRule="auto"/>
      </w:pPr>
      <w:r>
        <w:separator/>
      </w:r>
    </w:p>
  </w:footnote>
  <w:footnote w:type="continuationSeparator" w:id="0">
    <w:p w:rsidR="00CE69EA" w:rsidRDefault="00CE69EA" w:rsidP="00CE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C0B"/>
    <w:multiLevelType w:val="hybridMultilevel"/>
    <w:tmpl w:val="0C74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22928"/>
    <w:multiLevelType w:val="hybridMultilevel"/>
    <w:tmpl w:val="5742E826"/>
    <w:lvl w:ilvl="0" w:tplc="75CA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6AE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E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9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6F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2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0E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4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AD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FA1F29"/>
    <w:multiLevelType w:val="hybridMultilevel"/>
    <w:tmpl w:val="0C44EF76"/>
    <w:lvl w:ilvl="0" w:tplc="1A488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14F6D"/>
    <w:multiLevelType w:val="hybridMultilevel"/>
    <w:tmpl w:val="A6F0E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03604"/>
    <w:multiLevelType w:val="hybridMultilevel"/>
    <w:tmpl w:val="32AC7238"/>
    <w:lvl w:ilvl="0" w:tplc="1A48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0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24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0E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05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2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D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8F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8A5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3A3F22"/>
    <w:multiLevelType w:val="hybridMultilevel"/>
    <w:tmpl w:val="03B47C9E"/>
    <w:lvl w:ilvl="0" w:tplc="1A488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1BEB"/>
    <w:multiLevelType w:val="hybridMultilevel"/>
    <w:tmpl w:val="58648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A451D"/>
    <w:multiLevelType w:val="hybridMultilevel"/>
    <w:tmpl w:val="37B8040E"/>
    <w:lvl w:ilvl="0" w:tplc="C8366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E2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27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4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44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62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72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A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24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4251C7"/>
    <w:multiLevelType w:val="hybridMultilevel"/>
    <w:tmpl w:val="04127C30"/>
    <w:lvl w:ilvl="0" w:tplc="AD3C4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404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63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CF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6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022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24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A9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AB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411A9A"/>
    <w:multiLevelType w:val="hybridMultilevel"/>
    <w:tmpl w:val="C56AF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E0D76"/>
    <w:multiLevelType w:val="hybridMultilevel"/>
    <w:tmpl w:val="4FEC6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0CCE"/>
    <w:multiLevelType w:val="hybridMultilevel"/>
    <w:tmpl w:val="B5448D60"/>
    <w:lvl w:ilvl="0" w:tplc="1A4884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F5B24"/>
    <w:multiLevelType w:val="hybridMultilevel"/>
    <w:tmpl w:val="827A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3D06"/>
    <w:multiLevelType w:val="hybridMultilevel"/>
    <w:tmpl w:val="C44E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7FC6"/>
    <w:multiLevelType w:val="hybridMultilevel"/>
    <w:tmpl w:val="C5E8DB18"/>
    <w:lvl w:ilvl="0" w:tplc="7DC46A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3B1A0738"/>
    <w:multiLevelType w:val="hybridMultilevel"/>
    <w:tmpl w:val="31D6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8A5465"/>
    <w:multiLevelType w:val="hybridMultilevel"/>
    <w:tmpl w:val="C892052C"/>
    <w:lvl w:ilvl="0" w:tplc="1A488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006B0"/>
    <w:multiLevelType w:val="hybridMultilevel"/>
    <w:tmpl w:val="9B466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6C1D6D"/>
    <w:multiLevelType w:val="hybridMultilevel"/>
    <w:tmpl w:val="233C3B10"/>
    <w:lvl w:ilvl="0" w:tplc="42B45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0E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8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E5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CB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C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83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6C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E2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60149A"/>
    <w:multiLevelType w:val="hybridMultilevel"/>
    <w:tmpl w:val="1E4CC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B3D7D"/>
    <w:multiLevelType w:val="hybridMultilevel"/>
    <w:tmpl w:val="E828D8C4"/>
    <w:lvl w:ilvl="0" w:tplc="1A488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922962"/>
    <w:multiLevelType w:val="hybridMultilevel"/>
    <w:tmpl w:val="80A848F4"/>
    <w:lvl w:ilvl="0" w:tplc="1A488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DA7A59"/>
    <w:multiLevelType w:val="hybridMultilevel"/>
    <w:tmpl w:val="A78AF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F1299D"/>
    <w:multiLevelType w:val="hybridMultilevel"/>
    <w:tmpl w:val="11BEE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5816E7"/>
    <w:multiLevelType w:val="hybridMultilevel"/>
    <w:tmpl w:val="B784B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A6961"/>
    <w:multiLevelType w:val="hybridMultilevel"/>
    <w:tmpl w:val="7B54C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FF5E00"/>
    <w:multiLevelType w:val="hybridMultilevel"/>
    <w:tmpl w:val="BF525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9082B"/>
    <w:multiLevelType w:val="hybridMultilevel"/>
    <w:tmpl w:val="FEE0A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CF702A"/>
    <w:multiLevelType w:val="hybridMultilevel"/>
    <w:tmpl w:val="B3E6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C469B"/>
    <w:multiLevelType w:val="hybridMultilevel"/>
    <w:tmpl w:val="CAFEE5D0"/>
    <w:lvl w:ilvl="0" w:tplc="F3244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4C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C7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4F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2D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1C9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0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E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6C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BB3509"/>
    <w:multiLevelType w:val="hybridMultilevel"/>
    <w:tmpl w:val="A4FA7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426579"/>
    <w:multiLevelType w:val="hybridMultilevel"/>
    <w:tmpl w:val="1C5EA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F5E19"/>
    <w:multiLevelType w:val="hybridMultilevel"/>
    <w:tmpl w:val="78DC007E"/>
    <w:lvl w:ilvl="0" w:tplc="1A4884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00A6F"/>
    <w:multiLevelType w:val="hybridMultilevel"/>
    <w:tmpl w:val="04E4F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9"/>
  </w:num>
  <w:num w:numId="4">
    <w:abstractNumId w:val="4"/>
  </w:num>
  <w:num w:numId="5">
    <w:abstractNumId w:val="7"/>
  </w:num>
  <w:num w:numId="6">
    <w:abstractNumId w:val="16"/>
  </w:num>
  <w:num w:numId="7">
    <w:abstractNumId w:val="5"/>
  </w:num>
  <w:num w:numId="8">
    <w:abstractNumId w:val="2"/>
  </w:num>
  <w:num w:numId="9">
    <w:abstractNumId w:val="21"/>
  </w:num>
  <w:num w:numId="10">
    <w:abstractNumId w:val="13"/>
  </w:num>
  <w:num w:numId="11">
    <w:abstractNumId w:val="20"/>
  </w:num>
  <w:num w:numId="12">
    <w:abstractNumId w:val="32"/>
  </w:num>
  <w:num w:numId="13">
    <w:abstractNumId w:val="31"/>
  </w:num>
  <w:num w:numId="14">
    <w:abstractNumId w:val="23"/>
  </w:num>
  <w:num w:numId="15">
    <w:abstractNumId w:val="24"/>
  </w:num>
  <w:num w:numId="16">
    <w:abstractNumId w:val="25"/>
  </w:num>
  <w:num w:numId="17">
    <w:abstractNumId w:val="14"/>
  </w:num>
  <w:num w:numId="18">
    <w:abstractNumId w:val="22"/>
  </w:num>
  <w:num w:numId="19">
    <w:abstractNumId w:val="15"/>
  </w:num>
  <w:num w:numId="20">
    <w:abstractNumId w:val="27"/>
  </w:num>
  <w:num w:numId="21">
    <w:abstractNumId w:val="33"/>
  </w:num>
  <w:num w:numId="22">
    <w:abstractNumId w:val="30"/>
  </w:num>
  <w:num w:numId="23">
    <w:abstractNumId w:val="12"/>
  </w:num>
  <w:num w:numId="24">
    <w:abstractNumId w:val="9"/>
  </w:num>
  <w:num w:numId="25">
    <w:abstractNumId w:val="17"/>
  </w:num>
  <w:num w:numId="26">
    <w:abstractNumId w:val="3"/>
  </w:num>
  <w:num w:numId="27">
    <w:abstractNumId w:val="11"/>
  </w:num>
  <w:num w:numId="28">
    <w:abstractNumId w:val="8"/>
  </w:num>
  <w:num w:numId="29">
    <w:abstractNumId w:val="19"/>
  </w:num>
  <w:num w:numId="30">
    <w:abstractNumId w:val="26"/>
  </w:num>
  <w:num w:numId="31">
    <w:abstractNumId w:val="10"/>
  </w:num>
  <w:num w:numId="32">
    <w:abstractNumId w:val="0"/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7"/>
    <w:rsid w:val="00002F51"/>
    <w:rsid w:val="00046CD4"/>
    <w:rsid w:val="0006515A"/>
    <w:rsid w:val="00066389"/>
    <w:rsid w:val="0007282D"/>
    <w:rsid w:val="0007351B"/>
    <w:rsid w:val="00077767"/>
    <w:rsid w:val="00083A3B"/>
    <w:rsid w:val="000A259F"/>
    <w:rsid w:val="000B27E2"/>
    <w:rsid w:val="000B6B20"/>
    <w:rsid w:val="000C5F65"/>
    <w:rsid w:val="000F7656"/>
    <w:rsid w:val="00120D93"/>
    <w:rsid w:val="00126854"/>
    <w:rsid w:val="00126B51"/>
    <w:rsid w:val="00163B72"/>
    <w:rsid w:val="00171AEB"/>
    <w:rsid w:val="00174D0B"/>
    <w:rsid w:val="00184E38"/>
    <w:rsid w:val="001858C8"/>
    <w:rsid w:val="00187E3F"/>
    <w:rsid w:val="001A2150"/>
    <w:rsid w:val="001B2E01"/>
    <w:rsid w:val="001C661C"/>
    <w:rsid w:val="001C6826"/>
    <w:rsid w:val="001D2A7B"/>
    <w:rsid w:val="001D6D40"/>
    <w:rsid w:val="001F6995"/>
    <w:rsid w:val="001F6E1B"/>
    <w:rsid w:val="00201628"/>
    <w:rsid w:val="00222916"/>
    <w:rsid w:val="0027145E"/>
    <w:rsid w:val="00273686"/>
    <w:rsid w:val="002820B1"/>
    <w:rsid w:val="0028734B"/>
    <w:rsid w:val="0029089B"/>
    <w:rsid w:val="002A5C40"/>
    <w:rsid w:val="002B1B36"/>
    <w:rsid w:val="002B231D"/>
    <w:rsid w:val="002B2631"/>
    <w:rsid w:val="002D34BA"/>
    <w:rsid w:val="002E767E"/>
    <w:rsid w:val="002F2CD1"/>
    <w:rsid w:val="00302F3F"/>
    <w:rsid w:val="00304F73"/>
    <w:rsid w:val="00305E7D"/>
    <w:rsid w:val="003220C3"/>
    <w:rsid w:val="00324BB8"/>
    <w:rsid w:val="003756A3"/>
    <w:rsid w:val="0038059D"/>
    <w:rsid w:val="003A5A20"/>
    <w:rsid w:val="003C16AA"/>
    <w:rsid w:val="003C5E54"/>
    <w:rsid w:val="003D7C65"/>
    <w:rsid w:val="003E50A2"/>
    <w:rsid w:val="003E7CB6"/>
    <w:rsid w:val="003F55FE"/>
    <w:rsid w:val="003F5918"/>
    <w:rsid w:val="004015D8"/>
    <w:rsid w:val="00410928"/>
    <w:rsid w:val="004219F9"/>
    <w:rsid w:val="00452CCD"/>
    <w:rsid w:val="00456893"/>
    <w:rsid w:val="004632B0"/>
    <w:rsid w:val="0047078D"/>
    <w:rsid w:val="00470C76"/>
    <w:rsid w:val="00473D37"/>
    <w:rsid w:val="004A74E9"/>
    <w:rsid w:val="004B5519"/>
    <w:rsid w:val="004C4A04"/>
    <w:rsid w:val="004D1F80"/>
    <w:rsid w:val="00501584"/>
    <w:rsid w:val="0050599F"/>
    <w:rsid w:val="00514880"/>
    <w:rsid w:val="00522612"/>
    <w:rsid w:val="00531942"/>
    <w:rsid w:val="005523AC"/>
    <w:rsid w:val="005554D5"/>
    <w:rsid w:val="005650E3"/>
    <w:rsid w:val="00574FAD"/>
    <w:rsid w:val="00594CDC"/>
    <w:rsid w:val="005A1042"/>
    <w:rsid w:val="005A5BCB"/>
    <w:rsid w:val="005C187E"/>
    <w:rsid w:val="005C5B4B"/>
    <w:rsid w:val="005C7F7D"/>
    <w:rsid w:val="005E699D"/>
    <w:rsid w:val="005F31C1"/>
    <w:rsid w:val="005F55C1"/>
    <w:rsid w:val="0060410F"/>
    <w:rsid w:val="00607C96"/>
    <w:rsid w:val="00634CBB"/>
    <w:rsid w:val="00647953"/>
    <w:rsid w:val="00647AE4"/>
    <w:rsid w:val="00650B8F"/>
    <w:rsid w:val="006676B4"/>
    <w:rsid w:val="00671725"/>
    <w:rsid w:val="006756C9"/>
    <w:rsid w:val="00686A0E"/>
    <w:rsid w:val="00696595"/>
    <w:rsid w:val="006A1BDF"/>
    <w:rsid w:val="006C1932"/>
    <w:rsid w:val="006D59E4"/>
    <w:rsid w:val="006E1CC7"/>
    <w:rsid w:val="006E7F6F"/>
    <w:rsid w:val="00707137"/>
    <w:rsid w:val="00713669"/>
    <w:rsid w:val="00716BD4"/>
    <w:rsid w:val="00726C5E"/>
    <w:rsid w:val="007320FA"/>
    <w:rsid w:val="00750022"/>
    <w:rsid w:val="00776D97"/>
    <w:rsid w:val="007908D0"/>
    <w:rsid w:val="00790DC3"/>
    <w:rsid w:val="007C0301"/>
    <w:rsid w:val="007D2A5C"/>
    <w:rsid w:val="007D409D"/>
    <w:rsid w:val="007D6A32"/>
    <w:rsid w:val="007F147D"/>
    <w:rsid w:val="007F2252"/>
    <w:rsid w:val="007F6923"/>
    <w:rsid w:val="00803DC2"/>
    <w:rsid w:val="0080575C"/>
    <w:rsid w:val="00811698"/>
    <w:rsid w:val="0086149B"/>
    <w:rsid w:val="00866D36"/>
    <w:rsid w:val="00871AD8"/>
    <w:rsid w:val="00893F0F"/>
    <w:rsid w:val="008959CA"/>
    <w:rsid w:val="008A6948"/>
    <w:rsid w:val="008C71BE"/>
    <w:rsid w:val="009317EF"/>
    <w:rsid w:val="009657D8"/>
    <w:rsid w:val="00973D2E"/>
    <w:rsid w:val="00977402"/>
    <w:rsid w:val="00980459"/>
    <w:rsid w:val="009D2832"/>
    <w:rsid w:val="009D522D"/>
    <w:rsid w:val="00A222D9"/>
    <w:rsid w:val="00A23E88"/>
    <w:rsid w:val="00A27EF3"/>
    <w:rsid w:val="00A44AE9"/>
    <w:rsid w:val="00A45B35"/>
    <w:rsid w:val="00A55C46"/>
    <w:rsid w:val="00A66060"/>
    <w:rsid w:val="00A74CA0"/>
    <w:rsid w:val="00A82260"/>
    <w:rsid w:val="00A834E5"/>
    <w:rsid w:val="00A84525"/>
    <w:rsid w:val="00A8468B"/>
    <w:rsid w:val="00A86E81"/>
    <w:rsid w:val="00A92769"/>
    <w:rsid w:val="00A94AF9"/>
    <w:rsid w:val="00AD2A46"/>
    <w:rsid w:val="00AE00E8"/>
    <w:rsid w:val="00B05DFB"/>
    <w:rsid w:val="00B23B40"/>
    <w:rsid w:val="00B4470E"/>
    <w:rsid w:val="00B54A10"/>
    <w:rsid w:val="00B6434A"/>
    <w:rsid w:val="00B80227"/>
    <w:rsid w:val="00B818B4"/>
    <w:rsid w:val="00B83040"/>
    <w:rsid w:val="00B85983"/>
    <w:rsid w:val="00BA5A25"/>
    <w:rsid w:val="00BB77AB"/>
    <w:rsid w:val="00BC4E47"/>
    <w:rsid w:val="00BD12F2"/>
    <w:rsid w:val="00BD382A"/>
    <w:rsid w:val="00BD7929"/>
    <w:rsid w:val="00BE12F4"/>
    <w:rsid w:val="00BF5AAE"/>
    <w:rsid w:val="00C11018"/>
    <w:rsid w:val="00C14F38"/>
    <w:rsid w:val="00C30A0C"/>
    <w:rsid w:val="00C42755"/>
    <w:rsid w:val="00C61426"/>
    <w:rsid w:val="00C65F1C"/>
    <w:rsid w:val="00C7144D"/>
    <w:rsid w:val="00CB3720"/>
    <w:rsid w:val="00CB486E"/>
    <w:rsid w:val="00CB5565"/>
    <w:rsid w:val="00CD5296"/>
    <w:rsid w:val="00CE0A7A"/>
    <w:rsid w:val="00CE69EA"/>
    <w:rsid w:val="00CE7E9C"/>
    <w:rsid w:val="00CF3C43"/>
    <w:rsid w:val="00D0617A"/>
    <w:rsid w:val="00D061F0"/>
    <w:rsid w:val="00D206AB"/>
    <w:rsid w:val="00D21EF1"/>
    <w:rsid w:val="00D33A85"/>
    <w:rsid w:val="00D36799"/>
    <w:rsid w:val="00D62952"/>
    <w:rsid w:val="00D901CF"/>
    <w:rsid w:val="00D939C3"/>
    <w:rsid w:val="00D94B2B"/>
    <w:rsid w:val="00D96F6D"/>
    <w:rsid w:val="00DB1780"/>
    <w:rsid w:val="00DB47C0"/>
    <w:rsid w:val="00DD4E3B"/>
    <w:rsid w:val="00E101A7"/>
    <w:rsid w:val="00E2540D"/>
    <w:rsid w:val="00E44DB3"/>
    <w:rsid w:val="00E64A0A"/>
    <w:rsid w:val="00E70844"/>
    <w:rsid w:val="00E72E2B"/>
    <w:rsid w:val="00E73C3D"/>
    <w:rsid w:val="00E75811"/>
    <w:rsid w:val="00E857B0"/>
    <w:rsid w:val="00EA53F4"/>
    <w:rsid w:val="00EB3FC4"/>
    <w:rsid w:val="00EC761F"/>
    <w:rsid w:val="00ED3210"/>
    <w:rsid w:val="00EE340D"/>
    <w:rsid w:val="00EE55CE"/>
    <w:rsid w:val="00EE66E8"/>
    <w:rsid w:val="00EE7D88"/>
    <w:rsid w:val="00EE7F75"/>
    <w:rsid w:val="00EF41A6"/>
    <w:rsid w:val="00F00B40"/>
    <w:rsid w:val="00F06ED4"/>
    <w:rsid w:val="00F079C2"/>
    <w:rsid w:val="00F279DC"/>
    <w:rsid w:val="00F37147"/>
    <w:rsid w:val="00F40A95"/>
    <w:rsid w:val="00F54738"/>
    <w:rsid w:val="00F55F52"/>
    <w:rsid w:val="00F63ABF"/>
    <w:rsid w:val="00F67A26"/>
    <w:rsid w:val="00F8439A"/>
    <w:rsid w:val="00F95507"/>
    <w:rsid w:val="00F95ED4"/>
    <w:rsid w:val="00FB0199"/>
    <w:rsid w:val="00FC699F"/>
    <w:rsid w:val="00FD2CFA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1422"/>
  <w15:chartTrackingRefBased/>
  <w15:docId w15:val="{5D0FBCC4-572A-4621-9DA7-51E547BE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4"/>
    <w:rPr>
      <w:rFonts w:ascii="Segoe UI" w:hAnsi="Segoe UI" w:cs="Segoe UI"/>
      <w:sz w:val="18"/>
      <w:szCs w:val="18"/>
    </w:rPr>
  </w:style>
  <w:style w:type="table" w:customStyle="1" w:styleId="TableGrid1111">
    <w:name w:val="Table Grid1111"/>
    <w:basedOn w:val="TableNormal"/>
    <w:next w:val="TableGrid"/>
    <w:uiPriority w:val="59"/>
    <w:rsid w:val="00A822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82260"/>
    <w:pPr>
      <w:spacing w:after="0" w:line="240" w:lineRule="auto"/>
      <w:jc w:val="center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A82260"/>
    <w:pPr>
      <w:spacing w:after="0" w:line="240" w:lineRule="auto"/>
      <w:jc w:val="center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EA"/>
  </w:style>
  <w:style w:type="paragraph" w:styleId="Footer">
    <w:name w:val="footer"/>
    <w:basedOn w:val="Normal"/>
    <w:link w:val="FooterChar"/>
    <w:uiPriority w:val="99"/>
    <w:unhideWhenUsed/>
    <w:rsid w:val="00CE6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0BE424-60A2-4051-81A6-94F578FC7085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C6782D0-075A-4ACE-B52A-135A58E49BD2}">
      <dgm:prSet phldrT="[Text]" custT="1"/>
      <dgm:spPr/>
      <dgm:t>
        <a:bodyPr/>
        <a:lstStyle/>
        <a:p>
          <a:pPr algn="l"/>
          <a:r>
            <a:rPr lang="en-GB" sz="1400"/>
            <a:t>Demonstrate Safety Leadership</a:t>
          </a:r>
        </a:p>
      </dgm:t>
    </dgm:pt>
    <dgm:pt modelId="{DD987111-606F-482C-A8C4-734BC766A604}" type="parTrans" cxnId="{2CDB06C0-A83A-4CDF-8C9D-D5D19820E8F4}">
      <dgm:prSet/>
      <dgm:spPr/>
      <dgm:t>
        <a:bodyPr/>
        <a:lstStyle/>
        <a:p>
          <a:pPr algn="l"/>
          <a:endParaRPr lang="en-GB"/>
        </a:p>
      </dgm:t>
    </dgm:pt>
    <dgm:pt modelId="{D58ACA17-5621-471E-BE1F-E967C489EE76}" type="sibTrans" cxnId="{2CDB06C0-A83A-4CDF-8C9D-D5D19820E8F4}">
      <dgm:prSet/>
      <dgm:spPr/>
      <dgm:t>
        <a:bodyPr/>
        <a:lstStyle/>
        <a:p>
          <a:pPr algn="l"/>
          <a:endParaRPr lang="en-GB"/>
        </a:p>
      </dgm:t>
    </dgm:pt>
    <dgm:pt modelId="{B0B725E6-29BC-48F6-837F-6E9E341771FA}">
      <dgm:prSet phldrT="[Text]" custT="1"/>
      <dgm:spPr/>
      <dgm:t>
        <a:bodyPr/>
        <a:lstStyle/>
        <a:p>
          <a:pPr algn="l"/>
          <a:r>
            <a:rPr lang="en-GB" sz="1200"/>
            <a:t>Clear and visible leadership to deliver a positive, healthy and safe working environment</a:t>
          </a:r>
        </a:p>
      </dgm:t>
    </dgm:pt>
    <dgm:pt modelId="{E02EE078-119E-4B4E-B1C9-9E96BDF312FE}" type="parTrans" cxnId="{6D912C30-D13F-46BF-9F61-010FF36BC0FB}">
      <dgm:prSet/>
      <dgm:spPr/>
      <dgm:t>
        <a:bodyPr/>
        <a:lstStyle/>
        <a:p>
          <a:pPr algn="l"/>
          <a:endParaRPr lang="en-GB"/>
        </a:p>
      </dgm:t>
    </dgm:pt>
    <dgm:pt modelId="{694FE88E-CAE6-49F2-B572-A20745769E66}" type="sibTrans" cxnId="{6D912C30-D13F-46BF-9F61-010FF36BC0FB}">
      <dgm:prSet/>
      <dgm:spPr/>
      <dgm:t>
        <a:bodyPr/>
        <a:lstStyle/>
        <a:p>
          <a:pPr algn="l"/>
          <a:endParaRPr lang="en-GB"/>
        </a:p>
      </dgm:t>
    </dgm:pt>
    <dgm:pt modelId="{0B725436-8773-4A17-BD6B-A7BC3C7D589A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 algn="l"/>
          <a:r>
            <a:rPr lang="en-GB" sz="1400"/>
            <a:t>Risk Management and robust systems </a:t>
          </a:r>
        </a:p>
      </dgm:t>
    </dgm:pt>
    <dgm:pt modelId="{AC432C2E-B553-4C56-9254-D093BC5C0953}" type="parTrans" cxnId="{7E16AF98-434F-4110-AA28-27CD7FCB1AC9}">
      <dgm:prSet/>
      <dgm:spPr/>
      <dgm:t>
        <a:bodyPr/>
        <a:lstStyle/>
        <a:p>
          <a:pPr algn="l"/>
          <a:endParaRPr lang="en-GB"/>
        </a:p>
      </dgm:t>
    </dgm:pt>
    <dgm:pt modelId="{3B5826EE-2BF0-4F2C-AE20-3E4ECD8A6C21}" type="sibTrans" cxnId="{7E16AF98-434F-4110-AA28-27CD7FCB1AC9}">
      <dgm:prSet/>
      <dgm:spPr/>
      <dgm:t>
        <a:bodyPr/>
        <a:lstStyle/>
        <a:p>
          <a:pPr algn="l"/>
          <a:endParaRPr lang="en-GB"/>
        </a:p>
      </dgm:t>
    </dgm:pt>
    <dgm:pt modelId="{C81A5663-B0C1-4DD8-9E54-E703FA3D9100}">
      <dgm:prSet phldrT="[Text]" custT="1"/>
      <dgm:spPr/>
      <dgm:t>
        <a:bodyPr/>
        <a:lstStyle/>
        <a:p>
          <a:pPr algn="l"/>
          <a:r>
            <a:rPr lang="en-GB" sz="1200"/>
            <a:t>Ensure we have an effective H&amp;S management system and take a risk-based approach to prioritising actions </a:t>
          </a:r>
        </a:p>
      </dgm:t>
    </dgm:pt>
    <dgm:pt modelId="{B254107C-155E-4FD5-838B-E6EA3B815B45}" type="parTrans" cxnId="{46A54BA0-3834-4AC2-8CD3-F666ED3B4D2B}">
      <dgm:prSet/>
      <dgm:spPr/>
      <dgm:t>
        <a:bodyPr/>
        <a:lstStyle/>
        <a:p>
          <a:pPr algn="l"/>
          <a:endParaRPr lang="en-GB"/>
        </a:p>
      </dgm:t>
    </dgm:pt>
    <dgm:pt modelId="{79362899-0DB7-46C9-8C45-0009BD2B89F4}" type="sibTrans" cxnId="{46A54BA0-3834-4AC2-8CD3-F666ED3B4D2B}">
      <dgm:prSet/>
      <dgm:spPr/>
      <dgm:t>
        <a:bodyPr/>
        <a:lstStyle/>
        <a:p>
          <a:pPr algn="l"/>
          <a:endParaRPr lang="en-GB"/>
        </a:p>
      </dgm:t>
    </dgm:pt>
    <dgm:pt modelId="{E19AE782-E497-4C7D-A2AA-696F6C643175}">
      <dgm:prSet phldrT="[Text]" custT="1"/>
      <dgm:spPr>
        <a:solidFill>
          <a:srgbClr val="FFC000"/>
        </a:solidFill>
      </dgm:spPr>
      <dgm:t>
        <a:bodyPr/>
        <a:lstStyle/>
        <a:p>
          <a:pPr algn="l"/>
          <a:r>
            <a:rPr lang="en-GB" sz="1400"/>
            <a:t>Learning and Development</a:t>
          </a:r>
        </a:p>
      </dgm:t>
    </dgm:pt>
    <dgm:pt modelId="{AFD500B1-6F05-4605-A85F-C1653C86FE4A}" type="parTrans" cxnId="{29DBDE3A-E5CF-45C6-9BD4-71E086470277}">
      <dgm:prSet/>
      <dgm:spPr/>
      <dgm:t>
        <a:bodyPr/>
        <a:lstStyle/>
        <a:p>
          <a:pPr algn="l"/>
          <a:endParaRPr lang="en-GB"/>
        </a:p>
      </dgm:t>
    </dgm:pt>
    <dgm:pt modelId="{E43F4420-B217-448A-B502-7887BAB02137}" type="sibTrans" cxnId="{29DBDE3A-E5CF-45C6-9BD4-71E086470277}">
      <dgm:prSet/>
      <dgm:spPr/>
      <dgm:t>
        <a:bodyPr/>
        <a:lstStyle/>
        <a:p>
          <a:pPr algn="l"/>
          <a:endParaRPr lang="en-GB"/>
        </a:p>
      </dgm:t>
    </dgm:pt>
    <dgm:pt modelId="{F93DCF81-A6C8-4008-899C-F1093B87FE5B}">
      <dgm:prSet phldrT="[Text]" custT="1"/>
      <dgm:spPr/>
      <dgm:t>
        <a:bodyPr/>
        <a:lstStyle/>
        <a:p>
          <a:pPr algn="l"/>
          <a:r>
            <a:rPr lang="en-GB" sz="1200"/>
            <a:t> Provide the necessary learning and </a:t>
          </a:r>
          <a:r>
            <a:rPr lang="en-GB" sz="1200">
              <a:solidFill>
                <a:schemeClr val="tx1"/>
              </a:solidFill>
            </a:rPr>
            <a:t>development to enable safe work and study, meet </a:t>
          </a:r>
          <a:r>
            <a:rPr lang="en-GB" sz="1200"/>
            <a:t>legal obligations and continually improve </a:t>
          </a:r>
        </a:p>
      </dgm:t>
    </dgm:pt>
    <dgm:pt modelId="{13E2AC4C-46C9-4ECB-BA43-5DEF9F613C74}" type="parTrans" cxnId="{B7C5F604-0A95-4496-9B6B-94800009B1A0}">
      <dgm:prSet/>
      <dgm:spPr/>
      <dgm:t>
        <a:bodyPr/>
        <a:lstStyle/>
        <a:p>
          <a:pPr algn="l"/>
          <a:endParaRPr lang="en-GB"/>
        </a:p>
      </dgm:t>
    </dgm:pt>
    <dgm:pt modelId="{76FE6EB0-0B8B-4CBE-98C0-3536256ECF75}" type="sibTrans" cxnId="{B7C5F604-0A95-4496-9B6B-94800009B1A0}">
      <dgm:prSet/>
      <dgm:spPr/>
      <dgm:t>
        <a:bodyPr/>
        <a:lstStyle/>
        <a:p>
          <a:pPr algn="l"/>
          <a:endParaRPr lang="en-GB"/>
        </a:p>
      </dgm:t>
    </dgm:pt>
    <dgm:pt modelId="{84BB3BB8-477F-4E7F-AC13-B705E2F7BCB1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pPr algn="l"/>
          <a:r>
            <a:rPr lang="en-GB" sz="1400"/>
            <a:t>Campus Safety and Resilience</a:t>
          </a:r>
        </a:p>
      </dgm:t>
    </dgm:pt>
    <dgm:pt modelId="{F30C6A71-4169-4283-BE7C-5107EE04B8C3}" type="parTrans" cxnId="{750018EC-D3C8-4961-BB46-DF79D2AF3EE3}">
      <dgm:prSet/>
      <dgm:spPr/>
      <dgm:t>
        <a:bodyPr/>
        <a:lstStyle/>
        <a:p>
          <a:pPr algn="l"/>
          <a:endParaRPr lang="en-GB"/>
        </a:p>
      </dgm:t>
    </dgm:pt>
    <dgm:pt modelId="{CF501143-5E6A-49BB-BA1C-22B0A83DD625}" type="sibTrans" cxnId="{750018EC-D3C8-4961-BB46-DF79D2AF3EE3}">
      <dgm:prSet/>
      <dgm:spPr/>
      <dgm:t>
        <a:bodyPr/>
        <a:lstStyle/>
        <a:p>
          <a:pPr algn="l"/>
          <a:endParaRPr lang="en-GB"/>
        </a:p>
      </dgm:t>
    </dgm:pt>
    <dgm:pt modelId="{102A4938-EADF-4C6D-BC81-825B3FAF3703}">
      <dgm:prSet phldrT="[Text]" custT="1"/>
      <dgm:spPr/>
      <dgm:t>
        <a:bodyPr/>
        <a:lstStyle/>
        <a:p>
          <a:pPr algn="l"/>
          <a:r>
            <a:rPr lang="en-GB" sz="1200">
              <a:solidFill>
                <a:schemeClr val="tx1"/>
              </a:solidFill>
            </a:rPr>
            <a:t>Create a safe campus community in which to work, study and visit</a:t>
          </a:r>
        </a:p>
      </dgm:t>
    </dgm:pt>
    <dgm:pt modelId="{E78AD5F5-0614-4960-BD8D-22B8E0889EEC}" type="parTrans" cxnId="{B26D7CD3-AB57-44DA-8992-D4FC0F4C2DB6}">
      <dgm:prSet/>
      <dgm:spPr/>
      <dgm:t>
        <a:bodyPr/>
        <a:lstStyle/>
        <a:p>
          <a:pPr algn="l"/>
          <a:endParaRPr lang="en-GB"/>
        </a:p>
      </dgm:t>
    </dgm:pt>
    <dgm:pt modelId="{FEFE533E-4527-49A0-A50E-917F0ABCD7C4}" type="sibTrans" cxnId="{B26D7CD3-AB57-44DA-8992-D4FC0F4C2DB6}">
      <dgm:prSet/>
      <dgm:spPr/>
      <dgm:t>
        <a:bodyPr/>
        <a:lstStyle/>
        <a:p>
          <a:pPr algn="l"/>
          <a:endParaRPr lang="en-GB"/>
        </a:p>
      </dgm:t>
    </dgm:pt>
    <dgm:pt modelId="{E2395FD2-24B3-4F56-99B8-7937F966352E}" type="pres">
      <dgm:prSet presAssocID="{D70BE424-60A2-4051-81A6-94F578FC708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D8304BA9-7DB7-4586-B6DB-755DB42E4447}" type="pres">
      <dgm:prSet presAssocID="{D70BE424-60A2-4051-81A6-94F578FC7085}" presName="children" presStyleCnt="0"/>
      <dgm:spPr/>
    </dgm:pt>
    <dgm:pt modelId="{4229867E-50E7-4206-A346-0B04C28BC632}" type="pres">
      <dgm:prSet presAssocID="{D70BE424-60A2-4051-81A6-94F578FC7085}" presName="child1group" presStyleCnt="0"/>
      <dgm:spPr/>
    </dgm:pt>
    <dgm:pt modelId="{61499854-A237-4E84-9CFD-422FCE878B2E}" type="pres">
      <dgm:prSet presAssocID="{D70BE424-60A2-4051-81A6-94F578FC7085}" presName="child1" presStyleLbl="bgAcc1" presStyleIdx="0" presStyleCnt="4" custScaleX="158659" custLinFactNeighborX="-14725" custLinFactNeighborY="13088"/>
      <dgm:spPr/>
    </dgm:pt>
    <dgm:pt modelId="{E201B476-C992-4370-9970-4BEE22D0C305}" type="pres">
      <dgm:prSet presAssocID="{D70BE424-60A2-4051-81A6-94F578FC7085}" presName="child1Text" presStyleLbl="bgAcc1" presStyleIdx="0" presStyleCnt="4">
        <dgm:presLayoutVars>
          <dgm:bulletEnabled val="1"/>
        </dgm:presLayoutVars>
      </dgm:prSet>
      <dgm:spPr/>
    </dgm:pt>
    <dgm:pt modelId="{FAAD1A86-92DF-463B-8119-DE3E24B01FCC}" type="pres">
      <dgm:prSet presAssocID="{D70BE424-60A2-4051-81A6-94F578FC7085}" presName="child2group" presStyleCnt="0"/>
      <dgm:spPr/>
    </dgm:pt>
    <dgm:pt modelId="{940ED397-DDD1-4930-8829-3698C4F64064}" type="pres">
      <dgm:prSet presAssocID="{D70BE424-60A2-4051-81A6-94F578FC7085}" presName="child2" presStyleLbl="bgAcc1" presStyleIdx="1" presStyleCnt="4" custScaleX="141407" custScaleY="105040" custLinFactNeighborX="23203" custLinFactNeighborY="10333"/>
      <dgm:spPr/>
    </dgm:pt>
    <dgm:pt modelId="{38EDDCEE-1BCE-4DE9-863A-96661DDEED30}" type="pres">
      <dgm:prSet presAssocID="{D70BE424-60A2-4051-81A6-94F578FC7085}" presName="child2Text" presStyleLbl="bgAcc1" presStyleIdx="1" presStyleCnt="4">
        <dgm:presLayoutVars>
          <dgm:bulletEnabled val="1"/>
        </dgm:presLayoutVars>
      </dgm:prSet>
      <dgm:spPr/>
    </dgm:pt>
    <dgm:pt modelId="{737FEF3B-7368-4468-AABE-322FCDF48B1C}" type="pres">
      <dgm:prSet presAssocID="{D70BE424-60A2-4051-81A6-94F578FC7085}" presName="child3group" presStyleCnt="0"/>
      <dgm:spPr/>
    </dgm:pt>
    <dgm:pt modelId="{71667D5E-3287-4259-B6F2-63C77084CD27}" type="pres">
      <dgm:prSet presAssocID="{D70BE424-60A2-4051-81A6-94F578FC7085}" presName="child3" presStyleLbl="bgAcc1" presStyleIdx="2" presStyleCnt="4" custScaleX="146511" custScaleY="93345" custLinFactNeighborX="27983" custLinFactNeighborY="-7245"/>
      <dgm:spPr/>
    </dgm:pt>
    <dgm:pt modelId="{D8D02A5B-6B05-4B67-A383-37D1B1EE8026}" type="pres">
      <dgm:prSet presAssocID="{D70BE424-60A2-4051-81A6-94F578FC7085}" presName="child3Text" presStyleLbl="bgAcc1" presStyleIdx="2" presStyleCnt="4">
        <dgm:presLayoutVars>
          <dgm:bulletEnabled val="1"/>
        </dgm:presLayoutVars>
      </dgm:prSet>
      <dgm:spPr/>
    </dgm:pt>
    <dgm:pt modelId="{FEFCD896-6D90-44E3-B5AB-5EE654544B1C}" type="pres">
      <dgm:prSet presAssocID="{D70BE424-60A2-4051-81A6-94F578FC7085}" presName="child4group" presStyleCnt="0"/>
      <dgm:spPr/>
    </dgm:pt>
    <dgm:pt modelId="{7EF0D256-36AE-48F5-8623-AE08603985FB}" type="pres">
      <dgm:prSet presAssocID="{D70BE424-60A2-4051-81A6-94F578FC7085}" presName="child4" presStyleLbl="bgAcc1" presStyleIdx="3" presStyleCnt="4" custScaleX="142596" custScaleY="90111" custLinFactNeighborX="-26818" custLinFactNeighborY="-8680"/>
      <dgm:spPr/>
    </dgm:pt>
    <dgm:pt modelId="{CDCB1D20-A95F-48C9-B940-42C3D5780E43}" type="pres">
      <dgm:prSet presAssocID="{D70BE424-60A2-4051-81A6-94F578FC7085}" presName="child4Text" presStyleLbl="bgAcc1" presStyleIdx="3" presStyleCnt="4">
        <dgm:presLayoutVars>
          <dgm:bulletEnabled val="1"/>
        </dgm:presLayoutVars>
      </dgm:prSet>
      <dgm:spPr/>
    </dgm:pt>
    <dgm:pt modelId="{0F694DFD-85F7-493F-B09C-C14BE00893D2}" type="pres">
      <dgm:prSet presAssocID="{D70BE424-60A2-4051-81A6-94F578FC7085}" presName="childPlaceholder" presStyleCnt="0"/>
      <dgm:spPr/>
    </dgm:pt>
    <dgm:pt modelId="{143746A9-062C-43BE-A71B-A9D1245F8A1F}" type="pres">
      <dgm:prSet presAssocID="{D70BE424-60A2-4051-81A6-94F578FC7085}" presName="circle" presStyleCnt="0"/>
      <dgm:spPr/>
    </dgm:pt>
    <dgm:pt modelId="{C6F9DB7E-C25A-4164-AC1E-A698FC97E73F}" type="pres">
      <dgm:prSet presAssocID="{D70BE424-60A2-4051-81A6-94F578FC7085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62FD4668-5C58-44C2-9C24-6EE890FBC3FE}" type="pres">
      <dgm:prSet presAssocID="{D70BE424-60A2-4051-81A6-94F578FC7085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26C04DC4-3A43-4530-8FD3-E6682ECA23D5}" type="pres">
      <dgm:prSet presAssocID="{D70BE424-60A2-4051-81A6-94F578FC7085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9F9E34F3-00B4-4B90-A8C2-C242773AF217}" type="pres">
      <dgm:prSet presAssocID="{D70BE424-60A2-4051-81A6-94F578FC7085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0DDF3378-ED2D-4827-8F0B-7B006DA84899}" type="pres">
      <dgm:prSet presAssocID="{D70BE424-60A2-4051-81A6-94F578FC7085}" presName="quadrantPlaceholder" presStyleCnt="0"/>
      <dgm:spPr/>
    </dgm:pt>
    <dgm:pt modelId="{8207A2F5-3CAD-45F2-A9B4-456B4A931372}" type="pres">
      <dgm:prSet presAssocID="{D70BE424-60A2-4051-81A6-94F578FC7085}" presName="center1" presStyleLbl="fgShp" presStyleIdx="0" presStyleCnt="2" custFlipVert="1" custScaleX="7050" custScaleY="8107" custLinFactX="-300000" custLinFactY="297907" custLinFactNeighborX="-369727" custLinFactNeighborY="300000"/>
      <dgm:spPr>
        <a:prstGeom prst="flowChartAlternateProcess">
          <a:avLst/>
        </a:prstGeom>
        <a:solidFill>
          <a:schemeClr val="accent3"/>
        </a:solidFill>
      </dgm:spPr>
    </dgm:pt>
    <dgm:pt modelId="{1C16D6DA-F96E-4DD7-A93E-BEBB8598A5D1}" type="pres">
      <dgm:prSet presAssocID="{D70BE424-60A2-4051-81A6-94F578FC7085}" presName="center2" presStyleLbl="fgShp" presStyleIdx="1" presStyleCnt="2" custFlipVert="1" custFlipHor="1" custScaleX="19092" custScaleY="8831" custLinFactX="-200000" custLinFactNeighborX="-233266" custLinFactNeighborY="-10134"/>
      <dgm:spPr/>
    </dgm:pt>
  </dgm:ptLst>
  <dgm:cxnLst>
    <dgm:cxn modelId="{B7C5F604-0A95-4496-9B6B-94800009B1A0}" srcId="{E19AE782-E497-4C7D-A2AA-696F6C643175}" destId="{F93DCF81-A6C8-4008-899C-F1093B87FE5B}" srcOrd="0" destOrd="0" parTransId="{13E2AC4C-46C9-4ECB-BA43-5DEF9F613C74}" sibTransId="{76FE6EB0-0B8B-4CBE-98C0-3536256ECF75}"/>
    <dgm:cxn modelId="{804C2A07-1F97-4D47-837F-DA82B4C9C754}" type="presOf" srcId="{84BB3BB8-477F-4E7F-AC13-B705E2F7BCB1}" destId="{9F9E34F3-00B4-4B90-A8C2-C242773AF217}" srcOrd="0" destOrd="0" presId="urn:microsoft.com/office/officeart/2005/8/layout/cycle4"/>
    <dgm:cxn modelId="{4612A215-7924-42E7-A21B-B9D7421BF934}" type="presOf" srcId="{102A4938-EADF-4C6D-BC81-825B3FAF3703}" destId="{7EF0D256-36AE-48F5-8623-AE08603985FB}" srcOrd="0" destOrd="0" presId="urn:microsoft.com/office/officeart/2005/8/layout/cycle4"/>
    <dgm:cxn modelId="{A984AA1B-77E0-42B9-816F-492716AEBAB1}" type="presOf" srcId="{C81A5663-B0C1-4DD8-9E54-E703FA3D9100}" destId="{940ED397-DDD1-4930-8829-3698C4F64064}" srcOrd="0" destOrd="0" presId="urn:microsoft.com/office/officeart/2005/8/layout/cycle4"/>
    <dgm:cxn modelId="{74235429-B0C4-4883-A120-E4259600EA41}" type="presOf" srcId="{E19AE782-E497-4C7D-A2AA-696F6C643175}" destId="{26C04DC4-3A43-4530-8FD3-E6682ECA23D5}" srcOrd="0" destOrd="0" presId="urn:microsoft.com/office/officeart/2005/8/layout/cycle4"/>
    <dgm:cxn modelId="{6D912C30-D13F-46BF-9F61-010FF36BC0FB}" srcId="{1C6782D0-075A-4ACE-B52A-135A58E49BD2}" destId="{B0B725E6-29BC-48F6-837F-6E9E341771FA}" srcOrd="0" destOrd="0" parTransId="{E02EE078-119E-4B4E-B1C9-9E96BDF312FE}" sibTransId="{694FE88E-CAE6-49F2-B572-A20745769E66}"/>
    <dgm:cxn modelId="{29DBDE3A-E5CF-45C6-9BD4-71E086470277}" srcId="{D70BE424-60A2-4051-81A6-94F578FC7085}" destId="{E19AE782-E497-4C7D-A2AA-696F6C643175}" srcOrd="2" destOrd="0" parTransId="{AFD500B1-6F05-4605-A85F-C1653C86FE4A}" sibTransId="{E43F4420-B217-448A-B502-7887BAB02137}"/>
    <dgm:cxn modelId="{90DABE5D-0A54-4B12-B8E4-DD1BDDC36E52}" type="presOf" srcId="{0B725436-8773-4A17-BD6B-A7BC3C7D589A}" destId="{62FD4668-5C58-44C2-9C24-6EE890FBC3FE}" srcOrd="0" destOrd="0" presId="urn:microsoft.com/office/officeart/2005/8/layout/cycle4"/>
    <dgm:cxn modelId="{A668B26D-D63E-4533-B735-4659F2CC2E39}" type="presOf" srcId="{F93DCF81-A6C8-4008-899C-F1093B87FE5B}" destId="{D8D02A5B-6B05-4B67-A383-37D1B1EE8026}" srcOrd="1" destOrd="0" presId="urn:microsoft.com/office/officeart/2005/8/layout/cycle4"/>
    <dgm:cxn modelId="{63C91F7B-4C2E-4F91-ABEA-D583470D4348}" type="presOf" srcId="{B0B725E6-29BC-48F6-837F-6E9E341771FA}" destId="{E201B476-C992-4370-9970-4BEE22D0C305}" srcOrd="1" destOrd="0" presId="urn:microsoft.com/office/officeart/2005/8/layout/cycle4"/>
    <dgm:cxn modelId="{7E16AF98-434F-4110-AA28-27CD7FCB1AC9}" srcId="{D70BE424-60A2-4051-81A6-94F578FC7085}" destId="{0B725436-8773-4A17-BD6B-A7BC3C7D589A}" srcOrd="1" destOrd="0" parTransId="{AC432C2E-B553-4C56-9254-D093BC5C0953}" sibTransId="{3B5826EE-2BF0-4F2C-AE20-3E4ECD8A6C21}"/>
    <dgm:cxn modelId="{46A54BA0-3834-4AC2-8CD3-F666ED3B4D2B}" srcId="{0B725436-8773-4A17-BD6B-A7BC3C7D589A}" destId="{C81A5663-B0C1-4DD8-9E54-E703FA3D9100}" srcOrd="0" destOrd="0" parTransId="{B254107C-155E-4FD5-838B-E6EA3B815B45}" sibTransId="{79362899-0DB7-46C9-8C45-0009BD2B89F4}"/>
    <dgm:cxn modelId="{7DC994A0-76A1-434F-A5AB-A82A83B1C23B}" type="presOf" srcId="{C81A5663-B0C1-4DD8-9E54-E703FA3D9100}" destId="{38EDDCEE-1BCE-4DE9-863A-96661DDEED30}" srcOrd="1" destOrd="0" presId="urn:microsoft.com/office/officeart/2005/8/layout/cycle4"/>
    <dgm:cxn modelId="{4500CFAA-829D-481B-8CDA-E967D8E455F5}" type="presOf" srcId="{B0B725E6-29BC-48F6-837F-6E9E341771FA}" destId="{61499854-A237-4E84-9CFD-422FCE878B2E}" srcOrd="0" destOrd="0" presId="urn:microsoft.com/office/officeart/2005/8/layout/cycle4"/>
    <dgm:cxn modelId="{9ED4ACB1-EEAF-4DDC-8D0A-C9913FEBC941}" type="presOf" srcId="{102A4938-EADF-4C6D-BC81-825B3FAF3703}" destId="{CDCB1D20-A95F-48C9-B940-42C3D5780E43}" srcOrd="1" destOrd="0" presId="urn:microsoft.com/office/officeart/2005/8/layout/cycle4"/>
    <dgm:cxn modelId="{1D73C9B7-6791-420C-B52D-B6544FACFCAF}" type="presOf" srcId="{D70BE424-60A2-4051-81A6-94F578FC7085}" destId="{E2395FD2-24B3-4F56-99B8-7937F966352E}" srcOrd="0" destOrd="0" presId="urn:microsoft.com/office/officeart/2005/8/layout/cycle4"/>
    <dgm:cxn modelId="{2CDB06C0-A83A-4CDF-8C9D-D5D19820E8F4}" srcId="{D70BE424-60A2-4051-81A6-94F578FC7085}" destId="{1C6782D0-075A-4ACE-B52A-135A58E49BD2}" srcOrd="0" destOrd="0" parTransId="{DD987111-606F-482C-A8C4-734BC766A604}" sibTransId="{D58ACA17-5621-471E-BE1F-E967C489EE76}"/>
    <dgm:cxn modelId="{B26D7CD3-AB57-44DA-8992-D4FC0F4C2DB6}" srcId="{84BB3BB8-477F-4E7F-AC13-B705E2F7BCB1}" destId="{102A4938-EADF-4C6D-BC81-825B3FAF3703}" srcOrd="0" destOrd="0" parTransId="{E78AD5F5-0614-4960-BD8D-22B8E0889EEC}" sibTransId="{FEFE533E-4527-49A0-A50E-917F0ABCD7C4}"/>
    <dgm:cxn modelId="{D560B5D6-F64A-4F89-81F8-CDFF762831BD}" type="presOf" srcId="{F93DCF81-A6C8-4008-899C-F1093B87FE5B}" destId="{71667D5E-3287-4259-B6F2-63C77084CD27}" srcOrd="0" destOrd="0" presId="urn:microsoft.com/office/officeart/2005/8/layout/cycle4"/>
    <dgm:cxn modelId="{750018EC-D3C8-4961-BB46-DF79D2AF3EE3}" srcId="{D70BE424-60A2-4051-81A6-94F578FC7085}" destId="{84BB3BB8-477F-4E7F-AC13-B705E2F7BCB1}" srcOrd="3" destOrd="0" parTransId="{F30C6A71-4169-4283-BE7C-5107EE04B8C3}" sibTransId="{CF501143-5E6A-49BB-BA1C-22B0A83DD625}"/>
    <dgm:cxn modelId="{A98795F5-67E4-4D8F-B315-B5AE8CBE59D3}" type="presOf" srcId="{1C6782D0-075A-4ACE-B52A-135A58E49BD2}" destId="{C6F9DB7E-C25A-4164-AC1E-A698FC97E73F}" srcOrd="0" destOrd="0" presId="urn:microsoft.com/office/officeart/2005/8/layout/cycle4"/>
    <dgm:cxn modelId="{D0A3D9ED-2728-4BDC-B014-1439C23C4F36}" type="presParOf" srcId="{E2395FD2-24B3-4F56-99B8-7937F966352E}" destId="{D8304BA9-7DB7-4586-B6DB-755DB42E4447}" srcOrd="0" destOrd="0" presId="urn:microsoft.com/office/officeart/2005/8/layout/cycle4"/>
    <dgm:cxn modelId="{0D7AF248-9200-4B10-BB5D-1DD951FB59B2}" type="presParOf" srcId="{D8304BA9-7DB7-4586-B6DB-755DB42E4447}" destId="{4229867E-50E7-4206-A346-0B04C28BC632}" srcOrd="0" destOrd="0" presId="urn:microsoft.com/office/officeart/2005/8/layout/cycle4"/>
    <dgm:cxn modelId="{71A9A582-F478-48E9-B8E1-D7B2707D6890}" type="presParOf" srcId="{4229867E-50E7-4206-A346-0B04C28BC632}" destId="{61499854-A237-4E84-9CFD-422FCE878B2E}" srcOrd="0" destOrd="0" presId="urn:microsoft.com/office/officeart/2005/8/layout/cycle4"/>
    <dgm:cxn modelId="{7AEFC02D-BB01-4C85-B433-F4B5C6C2A7C2}" type="presParOf" srcId="{4229867E-50E7-4206-A346-0B04C28BC632}" destId="{E201B476-C992-4370-9970-4BEE22D0C305}" srcOrd="1" destOrd="0" presId="urn:microsoft.com/office/officeart/2005/8/layout/cycle4"/>
    <dgm:cxn modelId="{9081007E-3AC6-4714-8ED9-547F73A056E0}" type="presParOf" srcId="{D8304BA9-7DB7-4586-B6DB-755DB42E4447}" destId="{FAAD1A86-92DF-463B-8119-DE3E24B01FCC}" srcOrd="1" destOrd="0" presId="urn:microsoft.com/office/officeart/2005/8/layout/cycle4"/>
    <dgm:cxn modelId="{C64D35B6-6395-4F72-ABC7-548FFCCB4401}" type="presParOf" srcId="{FAAD1A86-92DF-463B-8119-DE3E24B01FCC}" destId="{940ED397-DDD1-4930-8829-3698C4F64064}" srcOrd="0" destOrd="0" presId="urn:microsoft.com/office/officeart/2005/8/layout/cycle4"/>
    <dgm:cxn modelId="{1DAE0D57-8A24-4997-9C36-F516E16E08B3}" type="presParOf" srcId="{FAAD1A86-92DF-463B-8119-DE3E24B01FCC}" destId="{38EDDCEE-1BCE-4DE9-863A-96661DDEED30}" srcOrd="1" destOrd="0" presId="urn:microsoft.com/office/officeart/2005/8/layout/cycle4"/>
    <dgm:cxn modelId="{24F12827-8DFD-497C-A754-818BF7EFD318}" type="presParOf" srcId="{D8304BA9-7DB7-4586-B6DB-755DB42E4447}" destId="{737FEF3B-7368-4468-AABE-322FCDF48B1C}" srcOrd="2" destOrd="0" presId="urn:microsoft.com/office/officeart/2005/8/layout/cycle4"/>
    <dgm:cxn modelId="{3AB6B70E-3073-4F24-AE7B-B37175EF18D5}" type="presParOf" srcId="{737FEF3B-7368-4468-AABE-322FCDF48B1C}" destId="{71667D5E-3287-4259-B6F2-63C77084CD27}" srcOrd="0" destOrd="0" presId="urn:microsoft.com/office/officeart/2005/8/layout/cycle4"/>
    <dgm:cxn modelId="{B7BDC1C0-6949-4601-8B26-985B7815A515}" type="presParOf" srcId="{737FEF3B-7368-4468-AABE-322FCDF48B1C}" destId="{D8D02A5B-6B05-4B67-A383-37D1B1EE8026}" srcOrd="1" destOrd="0" presId="urn:microsoft.com/office/officeart/2005/8/layout/cycle4"/>
    <dgm:cxn modelId="{4509F1FC-1F2D-409C-A9B8-0514E2916EF1}" type="presParOf" srcId="{D8304BA9-7DB7-4586-B6DB-755DB42E4447}" destId="{FEFCD896-6D90-44E3-B5AB-5EE654544B1C}" srcOrd="3" destOrd="0" presId="urn:microsoft.com/office/officeart/2005/8/layout/cycle4"/>
    <dgm:cxn modelId="{1C3DCDE1-07BE-468A-B0E9-50E9596B2640}" type="presParOf" srcId="{FEFCD896-6D90-44E3-B5AB-5EE654544B1C}" destId="{7EF0D256-36AE-48F5-8623-AE08603985FB}" srcOrd="0" destOrd="0" presId="urn:microsoft.com/office/officeart/2005/8/layout/cycle4"/>
    <dgm:cxn modelId="{62F1B85A-4BE5-4A53-806E-F51547FD5F4D}" type="presParOf" srcId="{FEFCD896-6D90-44E3-B5AB-5EE654544B1C}" destId="{CDCB1D20-A95F-48C9-B940-42C3D5780E43}" srcOrd="1" destOrd="0" presId="urn:microsoft.com/office/officeart/2005/8/layout/cycle4"/>
    <dgm:cxn modelId="{36177F4E-A74F-42F3-9104-39D015D656BF}" type="presParOf" srcId="{D8304BA9-7DB7-4586-B6DB-755DB42E4447}" destId="{0F694DFD-85F7-493F-B09C-C14BE00893D2}" srcOrd="4" destOrd="0" presId="urn:microsoft.com/office/officeart/2005/8/layout/cycle4"/>
    <dgm:cxn modelId="{510ADD49-1CB3-4B68-9FF1-9684F3CD5E97}" type="presParOf" srcId="{E2395FD2-24B3-4F56-99B8-7937F966352E}" destId="{143746A9-062C-43BE-A71B-A9D1245F8A1F}" srcOrd="1" destOrd="0" presId="urn:microsoft.com/office/officeart/2005/8/layout/cycle4"/>
    <dgm:cxn modelId="{9D54213D-A2B7-4181-BBC5-AFC9851B4362}" type="presParOf" srcId="{143746A9-062C-43BE-A71B-A9D1245F8A1F}" destId="{C6F9DB7E-C25A-4164-AC1E-A698FC97E73F}" srcOrd="0" destOrd="0" presId="urn:microsoft.com/office/officeart/2005/8/layout/cycle4"/>
    <dgm:cxn modelId="{13A89D14-0DBC-45B4-AB6A-8A03B6F1C302}" type="presParOf" srcId="{143746A9-062C-43BE-A71B-A9D1245F8A1F}" destId="{62FD4668-5C58-44C2-9C24-6EE890FBC3FE}" srcOrd="1" destOrd="0" presId="urn:microsoft.com/office/officeart/2005/8/layout/cycle4"/>
    <dgm:cxn modelId="{C2EF573E-3581-415D-AC3D-21484DC54BF2}" type="presParOf" srcId="{143746A9-062C-43BE-A71B-A9D1245F8A1F}" destId="{26C04DC4-3A43-4530-8FD3-E6682ECA23D5}" srcOrd="2" destOrd="0" presId="urn:microsoft.com/office/officeart/2005/8/layout/cycle4"/>
    <dgm:cxn modelId="{B013557A-1E73-4C35-8C94-0F5BF6389AF8}" type="presParOf" srcId="{143746A9-062C-43BE-A71B-A9D1245F8A1F}" destId="{9F9E34F3-00B4-4B90-A8C2-C242773AF217}" srcOrd="3" destOrd="0" presId="urn:microsoft.com/office/officeart/2005/8/layout/cycle4"/>
    <dgm:cxn modelId="{9CD460A4-D0A0-4901-86AD-2931DC72372F}" type="presParOf" srcId="{143746A9-062C-43BE-A71B-A9D1245F8A1F}" destId="{0DDF3378-ED2D-4827-8F0B-7B006DA84899}" srcOrd="4" destOrd="0" presId="urn:microsoft.com/office/officeart/2005/8/layout/cycle4"/>
    <dgm:cxn modelId="{0F01BB48-F70E-46B0-8B18-575CEB1AFF32}" type="presParOf" srcId="{E2395FD2-24B3-4F56-99B8-7937F966352E}" destId="{8207A2F5-3CAD-45F2-A9B4-456B4A931372}" srcOrd="2" destOrd="0" presId="urn:microsoft.com/office/officeart/2005/8/layout/cycle4"/>
    <dgm:cxn modelId="{6AC47F45-3CEF-4B4B-BF52-A298D0C0F5F8}" type="presParOf" srcId="{E2395FD2-24B3-4F56-99B8-7937F966352E}" destId="{1C16D6DA-F96E-4DD7-A93E-BEBB8598A5D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667D5E-3287-4259-B6F2-63C77084CD27}">
      <dsp:nvSpPr>
        <dsp:cNvPr id="0" name=""/>
        <dsp:cNvSpPr/>
      </dsp:nvSpPr>
      <dsp:spPr>
        <a:xfrm>
          <a:off x="5210909" y="2907195"/>
          <a:ext cx="3124107" cy="12893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 Provide the necessary learning and </a:t>
          </a:r>
          <a:r>
            <a:rPr lang="en-GB" sz="1200" kern="1200">
              <a:solidFill>
                <a:schemeClr val="tx1"/>
              </a:solidFill>
            </a:rPr>
            <a:t>development to enable safe work and study, meet </a:t>
          </a:r>
          <a:r>
            <a:rPr lang="en-GB" sz="1200" kern="1200"/>
            <a:t>legal obligations and continually improve </a:t>
          </a:r>
        </a:p>
      </dsp:txBody>
      <dsp:txXfrm>
        <a:off x="6176465" y="3257854"/>
        <a:ext cx="2130229" cy="910364"/>
      </dsp:txXfrm>
    </dsp:sp>
    <dsp:sp modelId="{7EF0D256-36AE-48F5-8623-AE08603985FB}">
      <dsp:nvSpPr>
        <dsp:cNvPr id="0" name=""/>
        <dsp:cNvSpPr/>
      </dsp:nvSpPr>
      <dsp:spPr>
        <a:xfrm>
          <a:off x="605032" y="2909708"/>
          <a:ext cx="3040626" cy="12446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chemeClr val="tx1"/>
              </a:solidFill>
            </a:rPr>
            <a:t>Create a safe campus community in which to work, study and visit</a:t>
          </a:r>
        </a:p>
      </dsp:txBody>
      <dsp:txXfrm>
        <a:off x="632373" y="3248219"/>
        <a:ext cx="2073756" cy="878825"/>
      </dsp:txXfrm>
    </dsp:sp>
    <dsp:sp modelId="{940ED397-DDD1-4930-8829-3698C4F64064}">
      <dsp:nvSpPr>
        <dsp:cNvPr id="0" name=""/>
        <dsp:cNvSpPr/>
      </dsp:nvSpPr>
      <dsp:spPr>
        <a:xfrm>
          <a:off x="5163401" y="134024"/>
          <a:ext cx="3015273" cy="14508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Ensure we have an effective H&amp;S management system and take a risk-based approach to prioritising actions </a:t>
          </a:r>
        </a:p>
      </dsp:txBody>
      <dsp:txXfrm>
        <a:off x="6099854" y="165895"/>
        <a:ext cx="2046949" cy="1024423"/>
      </dsp:txXfrm>
    </dsp:sp>
    <dsp:sp modelId="{61499854-A237-4E84-9CFD-422FCE878B2E}">
      <dsp:nvSpPr>
        <dsp:cNvPr id="0" name=""/>
        <dsp:cNvSpPr/>
      </dsp:nvSpPr>
      <dsp:spPr>
        <a:xfrm>
          <a:off x="691637" y="206886"/>
          <a:ext cx="3383144" cy="1381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Clear and visible leadership to deliver a positive, healthy and safe working environment</a:t>
          </a:r>
        </a:p>
      </dsp:txBody>
      <dsp:txXfrm>
        <a:off x="721979" y="237228"/>
        <a:ext cx="2307516" cy="975269"/>
      </dsp:txXfrm>
    </dsp:sp>
    <dsp:sp modelId="{C6F9DB7E-C25A-4164-AC1E-A698FC97E73F}">
      <dsp:nvSpPr>
        <dsp:cNvPr id="0" name=""/>
        <dsp:cNvSpPr/>
      </dsp:nvSpPr>
      <dsp:spPr>
        <a:xfrm>
          <a:off x="2459778" y="254740"/>
          <a:ext cx="1869031" cy="1869031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Demonstrate Safety Leadership</a:t>
          </a:r>
        </a:p>
      </dsp:txBody>
      <dsp:txXfrm>
        <a:off x="3007205" y="802167"/>
        <a:ext cx="1321604" cy="1321604"/>
      </dsp:txXfrm>
    </dsp:sp>
    <dsp:sp modelId="{62FD4668-5C58-44C2-9C24-6EE890FBC3FE}">
      <dsp:nvSpPr>
        <dsp:cNvPr id="0" name=""/>
        <dsp:cNvSpPr/>
      </dsp:nvSpPr>
      <dsp:spPr>
        <a:xfrm rot="5400000">
          <a:off x="4415139" y="254740"/>
          <a:ext cx="1869031" cy="1869031"/>
        </a:xfrm>
        <a:prstGeom prst="pieWedg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Risk Management and robust systems </a:t>
          </a:r>
        </a:p>
      </dsp:txBody>
      <dsp:txXfrm rot="-5400000">
        <a:off x="4415139" y="802167"/>
        <a:ext cx="1321604" cy="1321604"/>
      </dsp:txXfrm>
    </dsp:sp>
    <dsp:sp modelId="{26C04DC4-3A43-4530-8FD3-E6682ECA23D5}">
      <dsp:nvSpPr>
        <dsp:cNvPr id="0" name=""/>
        <dsp:cNvSpPr/>
      </dsp:nvSpPr>
      <dsp:spPr>
        <a:xfrm rot="10800000">
          <a:off x="4415139" y="2210102"/>
          <a:ext cx="1869031" cy="1869031"/>
        </a:xfrm>
        <a:prstGeom prst="pieWedg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Learning and Development</a:t>
          </a:r>
        </a:p>
      </dsp:txBody>
      <dsp:txXfrm rot="10800000">
        <a:off x="4415139" y="2210102"/>
        <a:ext cx="1321604" cy="1321604"/>
      </dsp:txXfrm>
    </dsp:sp>
    <dsp:sp modelId="{9F9E34F3-00B4-4B90-A8C2-C242773AF217}">
      <dsp:nvSpPr>
        <dsp:cNvPr id="0" name=""/>
        <dsp:cNvSpPr/>
      </dsp:nvSpPr>
      <dsp:spPr>
        <a:xfrm rot="16200000">
          <a:off x="2459778" y="2210102"/>
          <a:ext cx="1869031" cy="1869031"/>
        </a:xfrm>
        <a:prstGeom prst="pieWedge">
          <a:avLst/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Campus Safety and Resilience</a:t>
          </a:r>
        </a:p>
      </dsp:txBody>
      <dsp:txXfrm rot="5400000">
        <a:off x="3007205" y="2210102"/>
        <a:ext cx="1321604" cy="1321604"/>
      </dsp:txXfrm>
    </dsp:sp>
    <dsp:sp modelId="{8207A2F5-3CAD-45F2-A9B4-456B4A931372}">
      <dsp:nvSpPr>
        <dsp:cNvPr id="0" name=""/>
        <dsp:cNvSpPr/>
      </dsp:nvSpPr>
      <dsp:spPr>
        <a:xfrm flipV="1">
          <a:off x="27396" y="4311129"/>
          <a:ext cx="45494" cy="45491"/>
        </a:xfrm>
        <a:prstGeom prst="flowChartAlternateProcess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16D6DA-F96E-4DD7-A93E-BEBB8598A5D1}">
      <dsp:nvSpPr>
        <dsp:cNvPr id="0" name=""/>
        <dsp:cNvSpPr/>
      </dsp:nvSpPr>
      <dsp:spPr>
        <a:xfrm rot="10800000" flipH="1" flipV="1">
          <a:off x="1514454" y="2193206"/>
          <a:ext cx="123203" cy="495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C81B-4672-4F40-9133-6A70D5C0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Colette</dc:creator>
  <cp:keywords/>
  <dc:description/>
  <cp:lastModifiedBy>Hamilton, Colette</cp:lastModifiedBy>
  <cp:revision>2</cp:revision>
  <cp:lastPrinted>2024-04-16T15:41:00Z</cp:lastPrinted>
  <dcterms:created xsi:type="dcterms:W3CDTF">2024-07-16T14:21:00Z</dcterms:created>
  <dcterms:modified xsi:type="dcterms:W3CDTF">2024-07-16T14:21:00Z</dcterms:modified>
</cp:coreProperties>
</file>